
<file path=[Content_Types].xml><?xml version="1.0" encoding="utf-8"?>
<Types xmlns="http://schemas.openxmlformats.org/package/2006/content-types">
  <Default ContentType="application/xml" Extension="xml"/>
  <Default ContentType="application/vnd.openxmlformats-package.relationships+xml" Extension="rels"/>
  <Default ContentType="image/jpeg" Extension="jpeg"/>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numbering+xml" PartName="/word/numbering.xml"/>
  <Default ContentType="image/png" Extension="png"/>
</Types>
</file>

<file path=_rels/.rels><?xml version="1.0" encoding="UTF-8" standalone="yes"?>
<Relationships xmlns="http://schemas.openxmlformats.org/package/2006/relationships"><Relationship Id="rId1"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pStyle w:val="ECHeader"/>
      </w:pPr>
      <w:r>
        <w:drawing>
          <wp:inline distB="0" distL="0" distR="0" distT="0">
            <wp:extent cx="1617738" cy="635000"/>
            <wp:effectExtent b="0" l="0" r="0" t="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logo.png">
                      <a:extLst>
                        <a:ext uri="{28A0092B-C50C-407E-A947-70E740481C1C}">
                          <a14:useLocalDpi xmlns:a14="http://schemas.microsoft.com/office/drawing/2010/main" val="0"/>
                        </a:ext>
                      </a:extLst>
                    </a:blip>
                    <a:stretch>
                      <a:fillRect/>
                    </a:stretch>
                  </pic:blipFill>
                  <pic:spPr>
                    <a:xfrm>
                      <a:off x="0" y="0"/>
                      <a:ext cx="1617738" cy="635000"/>
                    </a:xfrm>
                    <a:prstGeom prst="rect">
                      <a:avLst/>
                    </a:prstGeom>
                  </pic:spPr>
                </pic:pic>
              </a:graphicData>
            </a:graphic>
          </wp:inline>
        </w:drawing>
      </w:r>
    </w:p>
    <w:p>
      <w:pPr>
        <w:pStyle w:val="PageTitle"/>
      </w:pPr>
      <w:r>
        <w:t>Abstracts book</w:t>
      </w:r>
    </w:p>
    <w:p>
      <w:pPr>
        <w:pStyle w:val="IndexStyle"/>
      </w:pPr>
      <w:bookmarkStart w:id="1" w:name="Index"/>
      <w:r>
        <w:rPr>
          <w:b/>
        </w:rPr>
        <w:t xml:space="preserve">Submission index: </w:t>
      </w:r>
      <w:bookmarkEnd w:id="1"/>
      <w:r>
        <w:fldChar w:fldCharType="begin"/>
      </w:r>
      <w:r>
        <w:instrText xml:space="preserve">REF abs1 \h</w:instrText>
      </w:r>
      <w:r>
        <w:fldChar w:fldCharType="separate"/>
      </w:r>
      <w:r>
        <w:rPr>
          <w:color w:val="0000ff"/>
          <w:sz w:val="20"/>
          <w:szCs w:val="20"/>
        </w:rPr>
        <w:t>[0008]</w:t>
      </w:r>
      <w:r>
        <w:fldChar w:fldCharType="end"/>
      </w:r>
      <w:r>
        <w:t xml:space="preserve">, </w:t>
      </w:r>
      <w:r>
        <w:fldChar w:fldCharType="begin"/>
      </w:r>
      <w:r>
        <w:instrText xml:space="preserve">REF abs2 \h</w:instrText>
      </w:r>
      <w:r>
        <w:fldChar w:fldCharType="separate"/>
      </w:r>
      <w:r>
        <w:rPr>
          <w:color w:val="0000ff"/>
          <w:sz w:val="20"/>
          <w:szCs w:val="20"/>
        </w:rPr>
        <w:t>[0174]</w:t>
      </w:r>
      <w:r>
        <w:fldChar w:fldCharType="end"/>
      </w:r>
      <w:r>
        <w:t xml:space="preserve">, </w:t>
      </w:r>
      <w:r>
        <w:fldChar w:fldCharType="begin"/>
      </w:r>
      <w:r>
        <w:instrText xml:space="preserve">REF abs3 \h</w:instrText>
      </w:r>
      <w:r>
        <w:fldChar w:fldCharType="separate"/>
      </w:r>
      <w:r>
        <w:rPr>
          <w:color w:val="0000ff"/>
          <w:sz w:val="20"/>
          <w:szCs w:val="20"/>
        </w:rPr>
        <w:t>[0263]</w:t>
      </w:r>
      <w:r>
        <w:fldChar w:fldCharType="end"/>
      </w:r>
      <w:r>
        <w:t xml:space="preserve">, </w:t>
      </w:r>
      <w:r>
        <w:fldChar w:fldCharType="begin"/>
      </w:r>
      <w:r>
        <w:instrText xml:space="preserve">REF abs4 \h</w:instrText>
      </w:r>
      <w:r>
        <w:fldChar w:fldCharType="separate"/>
      </w:r>
      <w:r>
        <w:rPr>
          <w:color w:val="0000ff"/>
          <w:sz w:val="20"/>
          <w:szCs w:val="20"/>
        </w:rPr>
        <w:t>[0287]</w:t>
      </w:r>
      <w:r>
        <w:fldChar w:fldCharType="end"/>
      </w:r>
      <w:r>
        <w:t xml:space="preserve">, </w:t>
      </w:r>
      <w:r>
        <w:fldChar w:fldCharType="begin"/>
      </w:r>
      <w:r>
        <w:instrText xml:space="preserve">REF abs5 \h</w:instrText>
      </w:r>
      <w:r>
        <w:fldChar w:fldCharType="separate"/>
      </w:r>
      <w:r>
        <w:rPr>
          <w:color w:val="0000ff"/>
          <w:sz w:val="20"/>
          <w:szCs w:val="20"/>
        </w:rPr>
        <w:t>[0335]</w:t>
      </w:r>
      <w:r>
        <w:fldChar w:fldCharType="end"/>
      </w:r>
      <w:r>
        <w:t xml:space="preserve">, </w:t>
      </w:r>
      <w:r>
        <w:fldChar w:fldCharType="begin"/>
      </w:r>
      <w:r>
        <w:instrText xml:space="preserve">REF abs6 \h</w:instrText>
      </w:r>
      <w:r>
        <w:fldChar w:fldCharType="separate"/>
      </w:r>
      <w:r>
        <w:rPr>
          <w:color w:val="0000ff"/>
          <w:sz w:val="20"/>
          <w:szCs w:val="20"/>
        </w:rPr>
        <w:t>[0345]</w:t>
      </w:r>
      <w:r>
        <w:fldChar w:fldCharType="end"/>
      </w:r>
      <w:r>
        <w:t xml:space="preserve">, </w:t>
      </w:r>
      <w:r>
        <w:fldChar w:fldCharType="begin"/>
      </w:r>
      <w:r>
        <w:instrText xml:space="preserve">REF abs7 \h</w:instrText>
      </w:r>
      <w:r>
        <w:fldChar w:fldCharType="separate"/>
      </w:r>
      <w:r>
        <w:rPr>
          <w:color w:val="0000ff"/>
          <w:sz w:val="20"/>
          <w:szCs w:val="20"/>
        </w:rPr>
        <w:t>[0374]</w:t>
      </w:r>
      <w:r>
        <w:fldChar w:fldCharType="end"/>
      </w:r>
      <w:r>
        <w:t xml:space="preserve">, </w:t>
      </w:r>
      <w:r>
        <w:fldChar w:fldCharType="begin"/>
      </w:r>
      <w:r>
        <w:instrText xml:space="preserve">REF abs8 \h</w:instrText>
      </w:r>
      <w:r>
        <w:fldChar w:fldCharType="separate"/>
      </w:r>
      <w:r>
        <w:rPr>
          <w:color w:val="0000ff"/>
          <w:sz w:val="20"/>
          <w:szCs w:val="20"/>
        </w:rPr>
        <w:t>[0598]</w:t>
      </w:r>
      <w:r>
        <w:fldChar w:fldCharType="end"/>
      </w:r>
      <w:r>
        <w:t xml:space="preserve">, </w:t>
      </w:r>
      <w:r>
        <w:fldChar w:fldCharType="begin"/>
      </w:r>
      <w:r>
        <w:instrText xml:space="preserve">REF abs9 \h</w:instrText>
      </w:r>
      <w:r>
        <w:fldChar w:fldCharType="separate"/>
      </w:r>
      <w:r>
        <w:rPr>
          <w:color w:val="0000ff"/>
          <w:sz w:val="20"/>
          <w:szCs w:val="20"/>
        </w:rPr>
        <w:t>[0604]</w:t>
      </w:r>
      <w:r>
        <w:fldChar w:fldCharType="end"/>
      </w:r>
      <w:r>
        <w:t xml:space="preserve">, </w:t>
      </w:r>
      <w:r>
        <w:fldChar w:fldCharType="begin"/>
      </w:r>
      <w:r>
        <w:instrText xml:space="preserve">REF abs10 \h</w:instrText>
      </w:r>
      <w:r>
        <w:fldChar w:fldCharType="separate"/>
      </w:r>
      <w:r>
        <w:rPr>
          <w:color w:val="0000ff"/>
          <w:sz w:val="20"/>
          <w:szCs w:val="20"/>
        </w:rPr>
        <w:t>[0715]</w:t>
      </w:r>
      <w:r>
        <w:fldChar w:fldCharType="end"/>
      </w:r>
      <w:r>
        <w:t xml:space="preserve">, </w:t>
      </w:r>
      <w:r>
        <w:fldChar w:fldCharType="begin"/>
      </w:r>
      <w:r>
        <w:instrText xml:space="preserve">REF abs11 \h</w:instrText>
      </w:r>
      <w:r>
        <w:fldChar w:fldCharType="separate"/>
      </w:r>
      <w:r>
        <w:rPr>
          <w:color w:val="0000ff"/>
          <w:sz w:val="20"/>
          <w:szCs w:val="20"/>
        </w:rPr>
        <w:t>[0751]</w:t>
      </w:r>
      <w:r>
        <w:fldChar w:fldCharType="end"/>
      </w:r>
      <w:r>
        <w:t xml:space="preserve">, </w:t>
      </w:r>
      <w:r>
        <w:fldChar w:fldCharType="begin"/>
      </w:r>
      <w:r>
        <w:instrText xml:space="preserve">REF abs12 \h</w:instrText>
      </w:r>
      <w:r>
        <w:fldChar w:fldCharType="separate"/>
      </w:r>
      <w:r>
        <w:rPr>
          <w:color w:val="0000ff"/>
          <w:sz w:val="20"/>
          <w:szCs w:val="20"/>
        </w:rPr>
        <w:t>[0772]</w:t>
      </w:r>
      <w:r>
        <w:fldChar w:fldCharType="end"/>
      </w:r>
      <w:r>
        <w:t xml:space="preserve">, </w:t>
      </w:r>
      <w:r>
        <w:fldChar w:fldCharType="begin"/>
      </w:r>
      <w:r>
        <w:instrText xml:space="preserve">REF abs13 \h</w:instrText>
      </w:r>
      <w:r>
        <w:fldChar w:fldCharType="separate"/>
      </w:r>
      <w:r>
        <w:rPr>
          <w:color w:val="0000ff"/>
          <w:sz w:val="20"/>
          <w:szCs w:val="20"/>
        </w:rPr>
        <w:t>[0786]</w:t>
      </w:r>
      <w:r>
        <w:fldChar w:fldCharType="end"/>
      </w:r>
      <w:r>
        <w:t xml:space="preserve">, </w:t>
      </w:r>
      <w:r>
        <w:fldChar w:fldCharType="begin"/>
      </w:r>
      <w:r>
        <w:instrText xml:space="preserve">REF abs14 \h</w:instrText>
      </w:r>
      <w:r>
        <w:fldChar w:fldCharType="separate"/>
      </w:r>
      <w:r>
        <w:rPr>
          <w:color w:val="0000ff"/>
          <w:sz w:val="20"/>
          <w:szCs w:val="20"/>
        </w:rPr>
        <w:t>[0884]</w:t>
      </w:r>
      <w:r>
        <w:fldChar w:fldCharType="end"/>
      </w:r>
      <w:r>
        <w:t xml:space="preserve">, </w:t>
      </w:r>
      <w:r>
        <w:fldChar w:fldCharType="begin"/>
      </w:r>
      <w:r>
        <w:instrText xml:space="preserve">REF abs15 \h</w:instrText>
      </w:r>
      <w:r>
        <w:fldChar w:fldCharType="separate"/>
      </w:r>
      <w:r>
        <w:rPr>
          <w:color w:val="0000ff"/>
          <w:sz w:val="20"/>
          <w:szCs w:val="20"/>
        </w:rPr>
        <w:t>[0915]</w:t>
      </w:r>
      <w:r>
        <w:fldChar w:fldCharType="end"/>
      </w:r>
      <w:r>
        <w:t xml:space="preserve">, </w:t>
      </w:r>
      <w:r>
        <w:fldChar w:fldCharType="begin"/>
      </w:r>
      <w:r>
        <w:instrText xml:space="preserve">REF abs16 \h</w:instrText>
      </w:r>
      <w:r>
        <w:fldChar w:fldCharType="separate"/>
      </w:r>
      <w:r>
        <w:rPr>
          <w:color w:val="0000ff"/>
          <w:sz w:val="20"/>
          <w:szCs w:val="20"/>
        </w:rPr>
        <w:t>[0962]</w:t>
      </w:r>
      <w:r>
        <w:fldChar w:fldCharType="end"/>
      </w:r>
      <w:r>
        <w:t xml:space="preserve">, </w:t>
      </w:r>
      <w:r>
        <w:fldChar w:fldCharType="begin"/>
      </w:r>
      <w:r>
        <w:instrText xml:space="preserve">REF abs17 \h</w:instrText>
      </w:r>
      <w:r>
        <w:fldChar w:fldCharType="separate"/>
      </w:r>
      <w:r>
        <w:rPr>
          <w:color w:val="0000ff"/>
          <w:sz w:val="20"/>
          <w:szCs w:val="20"/>
        </w:rPr>
        <w:t>[0973]</w:t>
      </w:r>
      <w:r>
        <w:fldChar w:fldCharType="end"/>
      </w:r>
      <w:r>
        <w:t xml:space="preserve">, </w:t>
      </w:r>
      <w:r>
        <w:fldChar w:fldCharType="begin"/>
      </w:r>
      <w:r>
        <w:instrText xml:space="preserve">REF abs18 \h</w:instrText>
      </w:r>
      <w:r>
        <w:fldChar w:fldCharType="separate"/>
      </w:r>
      <w:r>
        <w:rPr>
          <w:color w:val="0000ff"/>
          <w:sz w:val="20"/>
          <w:szCs w:val="20"/>
        </w:rPr>
        <w:t>[0990]</w:t>
      </w:r>
      <w:r>
        <w:fldChar w:fldCharType="end"/>
      </w:r>
      <w:r>
        <w:t xml:space="preserve">, </w:t>
      </w:r>
      <w:r>
        <w:fldChar w:fldCharType="begin"/>
      </w:r>
      <w:r>
        <w:instrText xml:space="preserve">REF abs19 \h</w:instrText>
      </w:r>
      <w:r>
        <w:fldChar w:fldCharType="separate"/>
      </w:r>
      <w:r>
        <w:rPr>
          <w:color w:val="0000ff"/>
          <w:sz w:val="20"/>
          <w:szCs w:val="20"/>
        </w:rPr>
        <w:t>[1035]</w:t>
      </w:r>
      <w:r>
        <w:fldChar w:fldCharType="end"/>
      </w:r>
      <w:r>
        <w:t xml:space="preserve">, </w:t>
      </w:r>
      <w:r>
        <w:fldChar w:fldCharType="begin"/>
      </w:r>
      <w:r>
        <w:instrText xml:space="preserve">REF abs20 \h</w:instrText>
      </w:r>
      <w:r>
        <w:fldChar w:fldCharType="separate"/>
      </w:r>
      <w:r>
        <w:rPr>
          <w:color w:val="0000ff"/>
          <w:sz w:val="20"/>
          <w:szCs w:val="20"/>
        </w:rPr>
        <w:t>[1052]</w:t>
      </w:r>
      <w:r>
        <w:fldChar w:fldCharType="end"/>
      </w:r>
      <w:r>
        <w:t xml:space="preserve">, </w:t>
      </w:r>
      <w:r>
        <w:fldChar w:fldCharType="begin"/>
      </w:r>
      <w:r>
        <w:instrText xml:space="preserve">REF abs21 \h</w:instrText>
      </w:r>
      <w:r>
        <w:fldChar w:fldCharType="separate"/>
      </w:r>
      <w:r>
        <w:rPr>
          <w:color w:val="0000ff"/>
          <w:sz w:val="20"/>
          <w:szCs w:val="20"/>
        </w:rPr>
        <w:t>[1061]</w:t>
      </w:r>
      <w:r>
        <w:fldChar w:fldCharType="end"/>
      </w:r>
      <w:r>
        <w:t xml:space="preserve">, </w:t>
      </w:r>
      <w:r>
        <w:fldChar w:fldCharType="begin"/>
      </w:r>
      <w:r>
        <w:instrText xml:space="preserve">REF abs22 \h</w:instrText>
      </w:r>
      <w:r>
        <w:fldChar w:fldCharType="separate"/>
      </w:r>
      <w:r>
        <w:rPr>
          <w:color w:val="0000ff"/>
          <w:sz w:val="20"/>
          <w:szCs w:val="20"/>
        </w:rPr>
        <w:t>[1077]</w:t>
      </w:r>
      <w:r>
        <w:fldChar w:fldCharType="end"/>
      </w:r>
      <w:r>
        <w:t xml:space="preserve">, </w:t>
      </w:r>
      <w:r>
        <w:fldChar w:fldCharType="begin"/>
      </w:r>
      <w:r>
        <w:instrText xml:space="preserve">REF abs23 \h</w:instrText>
      </w:r>
      <w:r>
        <w:fldChar w:fldCharType="separate"/>
      </w:r>
      <w:r>
        <w:rPr>
          <w:color w:val="0000ff"/>
          <w:sz w:val="20"/>
          <w:szCs w:val="20"/>
        </w:rPr>
        <w:t>[1351]</w:t>
      </w:r>
      <w:r>
        <w:fldChar w:fldCharType="end"/>
      </w:r>
      <w:r>
        <w:t xml:space="preserve">, </w:t>
      </w:r>
      <w:r>
        <w:fldChar w:fldCharType="begin"/>
      </w:r>
      <w:r>
        <w:instrText xml:space="preserve">REF abs24 \h</w:instrText>
      </w:r>
      <w:r>
        <w:fldChar w:fldCharType="separate"/>
      </w:r>
      <w:r>
        <w:rPr>
          <w:color w:val="0000ff"/>
          <w:sz w:val="20"/>
          <w:szCs w:val="20"/>
        </w:rPr>
        <w:t>[1414]</w:t>
      </w:r>
      <w:r>
        <w:fldChar w:fldCharType="end"/>
      </w:r>
      <w:r>
        <w:t xml:space="preserve">, </w:t>
      </w:r>
      <w:r>
        <w:fldChar w:fldCharType="begin"/>
      </w:r>
      <w:r>
        <w:instrText xml:space="preserve">REF abs25 \h</w:instrText>
      </w:r>
      <w:r>
        <w:fldChar w:fldCharType="separate"/>
      </w:r>
      <w:r>
        <w:rPr>
          <w:color w:val="0000ff"/>
          <w:sz w:val="20"/>
          <w:szCs w:val="20"/>
        </w:rPr>
        <w:t>[1416]</w:t>
      </w:r>
      <w:r>
        <w:fldChar w:fldCharType="end"/>
      </w:r>
      <w:r>
        <w:t xml:space="preserve">, </w:t>
      </w:r>
      <w:r>
        <w:fldChar w:fldCharType="begin"/>
      </w:r>
      <w:r>
        <w:instrText xml:space="preserve">REF abs26 \h</w:instrText>
      </w:r>
      <w:r>
        <w:fldChar w:fldCharType="separate"/>
      </w:r>
      <w:r>
        <w:rPr>
          <w:color w:val="0000ff"/>
          <w:sz w:val="20"/>
          <w:szCs w:val="20"/>
        </w:rPr>
        <w:t>[1470]</w:t>
      </w:r>
      <w:r>
        <w:fldChar w:fldCharType="end"/>
      </w:r>
      <w:r>
        <w:t xml:space="preserve">, </w:t>
      </w:r>
      <w:r>
        <w:fldChar w:fldCharType="begin"/>
      </w:r>
      <w:r>
        <w:instrText xml:space="preserve">REF abs27 \h</w:instrText>
      </w:r>
      <w:r>
        <w:fldChar w:fldCharType="separate"/>
      </w:r>
      <w:r>
        <w:rPr>
          <w:color w:val="0000ff"/>
          <w:sz w:val="20"/>
          <w:szCs w:val="20"/>
        </w:rPr>
        <w:t>[1486]</w:t>
      </w:r>
      <w:r>
        <w:fldChar w:fldCharType="end"/>
      </w:r>
      <w:r>
        <w:t xml:space="preserve">, </w:t>
      </w:r>
      <w:r>
        <w:fldChar w:fldCharType="begin"/>
      </w:r>
      <w:r>
        <w:instrText xml:space="preserve">REF abs28 \h</w:instrText>
      </w:r>
      <w:r>
        <w:fldChar w:fldCharType="separate"/>
      </w:r>
      <w:r>
        <w:rPr>
          <w:color w:val="0000ff"/>
          <w:sz w:val="20"/>
          <w:szCs w:val="20"/>
        </w:rPr>
        <w:t>[1493]</w:t>
      </w:r>
      <w:r>
        <w:fldChar w:fldCharType="end"/>
      </w:r>
      <w:r>
        <w:t xml:space="preserve">, </w:t>
      </w:r>
      <w:r>
        <w:fldChar w:fldCharType="begin"/>
      </w:r>
      <w:r>
        <w:instrText xml:space="preserve">REF abs29 \h</w:instrText>
      </w:r>
      <w:r>
        <w:fldChar w:fldCharType="separate"/>
      </w:r>
      <w:r>
        <w:rPr>
          <w:color w:val="0000ff"/>
          <w:sz w:val="20"/>
          <w:szCs w:val="20"/>
        </w:rPr>
        <w:t>[1742]</w:t>
      </w:r>
      <w:r>
        <w:fldChar w:fldCharType="end"/>
      </w:r>
      <w:r>
        <w:t xml:space="preserve">, </w:t>
      </w:r>
      <w:r>
        <w:fldChar w:fldCharType="begin"/>
      </w:r>
      <w:r>
        <w:instrText xml:space="preserve">REF abs30 \h</w:instrText>
      </w:r>
      <w:r>
        <w:fldChar w:fldCharType="separate"/>
      </w:r>
      <w:r>
        <w:rPr>
          <w:color w:val="0000ff"/>
          <w:sz w:val="20"/>
          <w:szCs w:val="20"/>
        </w:rPr>
        <w:t>[1755]</w:t>
      </w:r>
      <w:r>
        <w:fldChar w:fldCharType="end"/>
      </w:r>
      <w:r>
        <w:t xml:space="preserve">, </w:t>
      </w:r>
      <w:r>
        <w:fldChar w:fldCharType="begin"/>
      </w:r>
      <w:r>
        <w:instrText xml:space="preserve">REF abs31 \h</w:instrText>
      </w:r>
      <w:r>
        <w:fldChar w:fldCharType="separate"/>
      </w:r>
      <w:r>
        <w:rPr>
          <w:color w:val="0000ff"/>
          <w:sz w:val="20"/>
          <w:szCs w:val="20"/>
        </w:rPr>
        <w:t>[1784]</w:t>
      </w:r>
      <w:r>
        <w:fldChar w:fldCharType="end"/>
      </w:r>
      <w:r>
        <w:t xml:space="preserve">, </w:t>
      </w:r>
      <w:r>
        <w:fldChar w:fldCharType="begin"/>
      </w:r>
      <w:r>
        <w:instrText xml:space="preserve">REF abs32 \h</w:instrText>
      </w:r>
      <w:r>
        <w:fldChar w:fldCharType="separate"/>
      </w:r>
      <w:r>
        <w:rPr>
          <w:color w:val="0000ff"/>
          <w:sz w:val="20"/>
          <w:szCs w:val="20"/>
        </w:rPr>
        <w:t>[1875]</w:t>
      </w:r>
      <w:r>
        <w:fldChar w:fldCharType="end"/>
      </w:r>
      <w:r>
        <w:t xml:space="preserve">, </w:t>
      </w:r>
      <w:r>
        <w:fldChar w:fldCharType="begin"/>
      </w:r>
      <w:r>
        <w:instrText xml:space="preserve">REF abs33 \h</w:instrText>
      </w:r>
      <w:r>
        <w:fldChar w:fldCharType="separate"/>
      </w:r>
      <w:r>
        <w:rPr>
          <w:color w:val="0000ff"/>
          <w:sz w:val="20"/>
          <w:szCs w:val="20"/>
        </w:rPr>
        <w:t>[2013]</w:t>
      </w:r>
      <w:r>
        <w:fldChar w:fldCharType="end"/>
      </w:r>
      <w:r>
        <w:t xml:space="preserve">, </w:t>
      </w:r>
      <w:r>
        <w:fldChar w:fldCharType="begin"/>
      </w:r>
      <w:r>
        <w:instrText xml:space="preserve">REF abs34 \h</w:instrText>
      </w:r>
      <w:r>
        <w:fldChar w:fldCharType="separate"/>
      </w:r>
      <w:r>
        <w:rPr>
          <w:color w:val="0000ff"/>
          <w:sz w:val="20"/>
          <w:szCs w:val="20"/>
        </w:rPr>
        <w:t>[2232]</w:t>
      </w:r>
      <w:r>
        <w:fldChar w:fldCharType="end"/>
      </w:r>
      <w:r>
        <w:t xml:space="preserve">, </w:t>
      </w:r>
      <w:r>
        <w:fldChar w:fldCharType="begin"/>
      </w:r>
      <w:r>
        <w:instrText xml:space="preserve">REF abs35 \h</w:instrText>
      </w:r>
      <w:r>
        <w:fldChar w:fldCharType="separate"/>
      </w:r>
      <w:r>
        <w:rPr>
          <w:color w:val="0000ff"/>
          <w:sz w:val="20"/>
          <w:szCs w:val="20"/>
        </w:rPr>
        <w:t>[2334]</w:t>
      </w:r>
      <w:r>
        <w:fldChar w:fldCharType="end"/>
      </w:r>
      <w:r>
        <w:t xml:space="preserve">, </w:t>
      </w:r>
      <w:r>
        <w:fldChar w:fldCharType="begin"/>
      </w:r>
      <w:r>
        <w:instrText xml:space="preserve">REF abs36 \h</w:instrText>
      </w:r>
      <w:r>
        <w:fldChar w:fldCharType="separate"/>
      </w:r>
      <w:r>
        <w:rPr>
          <w:color w:val="0000ff"/>
          <w:sz w:val="20"/>
          <w:szCs w:val="20"/>
        </w:rPr>
        <w:t>[2335]</w:t>
      </w:r>
      <w:r>
        <w:fldChar w:fldCharType="end"/>
      </w:r>
      <w:r>
        <w:t xml:space="preserve">, </w:t>
      </w:r>
      <w:r>
        <w:fldChar w:fldCharType="begin"/>
      </w:r>
      <w:r>
        <w:instrText xml:space="preserve">REF abs37 \h</w:instrText>
      </w:r>
      <w:r>
        <w:fldChar w:fldCharType="separate"/>
      </w:r>
      <w:r>
        <w:rPr>
          <w:color w:val="0000ff"/>
          <w:sz w:val="20"/>
          <w:szCs w:val="20"/>
        </w:rPr>
        <w:t>[2341]</w:t>
      </w:r>
      <w:r>
        <w:fldChar w:fldCharType="end"/>
      </w:r>
      <w:r>
        <w:t xml:space="preserve">, </w:t>
      </w:r>
      <w:r>
        <w:fldChar w:fldCharType="begin"/>
      </w:r>
      <w:r>
        <w:instrText xml:space="preserve">REF abs38 \h</w:instrText>
      </w:r>
      <w:r>
        <w:fldChar w:fldCharType="separate"/>
      </w:r>
      <w:r>
        <w:rPr>
          <w:color w:val="0000ff"/>
          <w:sz w:val="20"/>
          <w:szCs w:val="20"/>
        </w:rPr>
        <w:t>[2475]</w:t>
      </w:r>
      <w:r>
        <w:fldChar w:fldCharType="end"/>
      </w:r>
      <w:r>
        <w:t xml:space="preserve">, </w:t>
      </w:r>
      <w:r>
        <w:fldChar w:fldCharType="begin"/>
      </w:r>
      <w:r>
        <w:instrText xml:space="preserve">REF abs39 \h</w:instrText>
      </w:r>
      <w:r>
        <w:fldChar w:fldCharType="separate"/>
      </w:r>
      <w:r>
        <w:rPr>
          <w:color w:val="0000ff"/>
          <w:sz w:val="20"/>
          <w:szCs w:val="20"/>
        </w:rPr>
        <w:t>[2504]</w:t>
      </w:r>
      <w:r>
        <w:fldChar w:fldCharType="end"/>
      </w:r>
      <w:r>
        <w:t xml:space="preserve">, </w:t>
      </w:r>
      <w:r>
        <w:fldChar w:fldCharType="begin"/>
      </w:r>
      <w:r>
        <w:instrText xml:space="preserve">REF abs40 \h</w:instrText>
      </w:r>
      <w:r>
        <w:fldChar w:fldCharType="separate"/>
      </w:r>
      <w:r>
        <w:rPr>
          <w:color w:val="0000ff"/>
          <w:sz w:val="20"/>
          <w:szCs w:val="20"/>
        </w:rPr>
        <w:t>[2554]</w:t>
      </w:r>
      <w:r>
        <w:fldChar w:fldCharType="end"/>
      </w:r>
      <w:r>
        <w:t xml:space="preserve">, </w:t>
      </w:r>
      <w:r>
        <w:fldChar w:fldCharType="begin"/>
      </w:r>
      <w:r>
        <w:instrText xml:space="preserve">REF abs41 \h</w:instrText>
      </w:r>
      <w:r>
        <w:fldChar w:fldCharType="separate"/>
      </w:r>
      <w:r>
        <w:rPr>
          <w:color w:val="0000ff"/>
          <w:sz w:val="20"/>
          <w:szCs w:val="20"/>
        </w:rPr>
        <w:t>[2859]</w:t>
      </w:r>
      <w:r>
        <w:fldChar w:fldCharType="end"/>
      </w:r>
      <w:r>
        <w:t xml:space="preserve">, </w:t>
      </w:r>
      <w:r>
        <w:fldChar w:fldCharType="begin"/>
      </w:r>
      <w:r>
        <w:instrText xml:space="preserve">REF abs42 \h</w:instrText>
      </w:r>
      <w:r>
        <w:fldChar w:fldCharType="separate"/>
      </w:r>
      <w:r>
        <w:rPr>
          <w:color w:val="0000ff"/>
          <w:sz w:val="20"/>
          <w:szCs w:val="20"/>
        </w:rPr>
        <w:t>[2971]</w:t>
      </w:r>
      <w:r>
        <w:fldChar w:fldCharType="end"/>
      </w:r>
      <w:r>
        <w:t xml:space="preserve">, </w:t>
      </w:r>
      <w:r>
        <w:fldChar w:fldCharType="begin"/>
      </w:r>
      <w:r>
        <w:instrText xml:space="preserve">REF abs43 \h</w:instrText>
      </w:r>
      <w:r>
        <w:fldChar w:fldCharType="separate"/>
      </w:r>
      <w:r>
        <w:rPr>
          <w:color w:val="0000ff"/>
          <w:sz w:val="20"/>
          <w:szCs w:val="20"/>
        </w:rPr>
        <w:t>[3155]</w:t>
      </w:r>
      <w:r>
        <w:fldChar w:fldCharType="end"/>
      </w:r>
      <w:r>
        <w:t xml:space="preserve">, </w:t>
      </w:r>
      <w:r>
        <w:fldChar w:fldCharType="begin"/>
      </w:r>
      <w:r>
        <w:instrText xml:space="preserve">REF abs44 \h</w:instrText>
      </w:r>
      <w:r>
        <w:fldChar w:fldCharType="separate"/>
      </w:r>
      <w:r>
        <w:rPr>
          <w:color w:val="0000ff"/>
          <w:sz w:val="20"/>
          <w:szCs w:val="20"/>
        </w:rPr>
        <w:t>[3282]</w:t>
      </w:r>
      <w:r>
        <w:fldChar w:fldCharType="end"/>
      </w:r>
      <w:r>
        <w:t xml:space="preserve">, </w:t>
      </w:r>
      <w:r>
        <w:fldChar w:fldCharType="begin"/>
      </w:r>
      <w:r>
        <w:instrText xml:space="preserve">REF abs45 \h</w:instrText>
      </w:r>
      <w:r>
        <w:fldChar w:fldCharType="separate"/>
      </w:r>
      <w:r>
        <w:rPr>
          <w:color w:val="0000ff"/>
          <w:sz w:val="20"/>
          <w:szCs w:val="20"/>
        </w:rPr>
        <w:t>[3369]</w:t>
      </w:r>
      <w:r>
        <w:fldChar w:fldCharType="end"/>
      </w:r>
      <w:r>
        <w:t xml:space="preserve">, </w:t>
      </w:r>
      <w:r>
        <w:fldChar w:fldCharType="begin"/>
      </w:r>
      <w:r>
        <w:instrText xml:space="preserve">REF abs46 \h</w:instrText>
      </w:r>
      <w:r>
        <w:fldChar w:fldCharType="separate"/>
      </w:r>
      <w:r>
        <w:rPr>
          <w:color w:val="0000ff"/>
          <w:sz w:val="20"/>
          <w:szCs w:val="20"/>
        </w:rPr>
        <w:t>[3418]</w:t>
      </w:r>
      <w:r>
        <w:fldChar w:fldCharType="end"/>
      </w:r>
      <w:r>
        <w:t xml:space="preserve">, </w:t>
      </w:r>
      <w:r>
        <w:fldChar w:fldCharType="begin"/>
      </w:r>
      <w:r>
        <w:instrText xml:space="preserve">REF abs47 \h</w:instrText>
      </w:r>
      <w:r>
        <w:fldChar w:fldCharType="separate"/>
      </w:r>
      <w:r>
        <w:rPr>
          <w:color w:val="0000ff"/>
          <w:sz w:val="20"/>
          <w:szCs w:val="20"/>
        </w:rPr>
        <w:t>[3497]</w:t>
      </w:r>
      <w:r>
        <w:fldChar w:fldCharType="end"/>
      </w:r>
      <w:r>
        <w:t xml:space="preserve">, </w:t>
      </w:r>
      <w:r>
        <w:fldChar w:fldCharType="begin"/>
      </w:r>
      <w:r>
        <w:instrText xml:space="preserve">REF abs48 \h</w:instrText>
      </w:r>
      <w:r>
        <w:fldChar w:fldCharType="separate"/>
      </w:r>
      <w:r>
        <w:rPr>
          <w:color w:val="0000ff"/>
          <w:sz w:val="20"/>
          <w:szCs w:val="20"/>
        </w:rPr>
        <w:t>[3786]</w:t>
      </w:r>
      <w:r>
        <w:fldChar w:fldCharType="end"/>
      </w:r>
      <w:r>
        <w:t xml:space="preserve">, </w:t>
      </w:r>
      <w:r>
        <w:fldChar w:fldCharType="begin"/>
      </w:r>
      <w:r>
        <w:instrText xml:space="preserve">REF abs49 \h</w:instrText>
      </w:r>
      <w:r>
        <w:fldChar w:fldCharType="separate"/>
      </w:r>
      <w:r>
        <w:rPr>
          <w:color w:val="0000ff"/>
          <w:sz w:val="20"/>
          <w:szCs w:val="20"/>
        </w:rPr>
        <w:t>[3879]</w:t>
      </w:r>
      <w:r>
        <w:fldChar w:fldCharType="end"/>
      </w:r>
      <w:r>
        <w:t xml:space="preserve">, </w:t>
      </w:r>
      <w:r>
        <w:fldChar w:fldCharType="begin"/>
      </w:r>
      <w:r>
        <w:instrText xml:space="preserve">REF abs50 \h</w:instrText>
      </w:r>
      <w:r>
        <w:fldChar w:fldCharType="separate"/>
      </w:r>
      <w:r>
        <w:rPr>
          <w:color w:val="0000ff"/>
          <w:sz w:val="20"/>
          <w:szCs w:val="20"/>
        </w:rPr>
        <w:t>[3921]</w:t>
      </w:r>
      <w:r>
        <w:fldChar w:fldCharType="end"/>
      </w:r>
      <w:r>
        <w:t xml:space="preserve">, </w:t>
      </w:r>
      <w:r>
        <w:fldChar w:fldCharType="begin"/>
      </w:r>
      <w:r>
        <w:instrText xml:space="preserve">REF abs51 \h</w:instrText>
      </w:r>
      <w:r>
        <w:fldChar w:fldCharType="separate"/>
      </w:r>
      <w:r>
        <w:rPr>
          <w:color w:val="0000ff"/>
          <w:sz w:val="20"/>
          <w:szCs w:val="20"/>
        </w:rPr>
        <w:t>[3929]</w:t>
      </w:r>
      <w:r>
        <w:fldChar w:fldCharType="end"/>
      </w:r>
      <w:r>
        <w:t xml:space="preserve">, </w:t>
      </w:r>
      <w:r>
        <w:fldChar w:fldCharType="begin"/>
      </w:r>
      <w:r>
        <w:instrText xml:space="preserve">REF abs52 \h</w:instrText>
      </w:r>
      <w:r>
        <w:fldChar w:fldCharType="separate"/>
      </w:r>
      <w:r>
        <w:rPr>
          <w:color w:val="0000ff"/>
          <w:sz w:val="20"/>
          <w:szCs w:val="20"/>
        </w:rPr>
        <w:t>[4007]</w:t>
      </w:r>
      <w:r>
        <w:fldChar w:fldCharType="end"/>
      </w:r>
      <w:r>
        <w:t xml:space="preserve">, </w:t>
      </w:r>
      <w:r>
        <w:fldChar w:fldCharType="begin"/>
      </w:r>
      <w:r>
        <w:instrText xml:space="preserve">REF abs53 \h</w:instrText>
      </w:r>
      <w:r>
        <w:fldChar w:fldCharType="separate"/>
      </w:r>
      <w:r>
        <w:rPr>
          <w:color w:val="0000ff"/>
          <w:sz w:val="20"/>
          <w:szCs w:val="20"/>
        </w:rPr>
        <w:t>[4070]</w:t>
      </w:r>
      <w:r>
        <w:fldChar w:fldCharType="end"/>
      </w:r>
      <w:r>
        <w:t xml:space="preserve">, </w:t>
      </w:r>
      <w:r>
        <w:fldChar w:fldCharType="begin"/>
      </w:r>
      <w:r>
        <w:instrText xml:space="preserve">REF abs54 \h</w:instrText>
      </w:r>
      <w:r>
        <w:fldChar w:fldCharType="separate"/>
      </w:r>
      <w:r>
        <w:rPr>
          <w:color w:val="0000ff"/>
          <w:sz w:val="20"/>
          <w:szCs w:val="20"/>
        </w:rPr>
        <w:t>[4178]</w:t>
      </w:r>
      <w:r>
        <w:fldChar w:fldCharType="end"/>
      </w:r>
      <w:r>
        <w:t xml:space="preserve">, </w:t>
      </w:r>
      <w:r>
        <w:fldChar w:fldCharType="begin"/>
      </w:r>
      <w:r>
        <w:instrText xml:space="preserve">REF abs55 \h</w:instrText>
      </w:r>
      <w:r>
        <w:fldChar w:fldCharType="separate"/>
      </w:r>
      <w:r>
        <w:rPr>
          <w:color w:val="0000ff"/>
          <w:sz w:val="20"/>
          <w:szCs w:val="20"/>
        </w:rPr>
        <w:t>[4219]</w:t>
      </w:r>
      <w:r>
        <w:fldChar w:fldCharType="end"/>
      </w:r>
      <w:r>
        <w:t xml:space="preserve">, </w:t>
      </w:r>
      <w:r>
        <w:fldChar w:fldCharType="begin"/>
      </w:r>
      <w:r>
        <w:instrText xml:space="preserve">REF abs56 \h</w:instrText>
      </w:r>
      <w:r>
        <w:fldChar w:fldCharType="separate"/>
      </w:r>
      <w:r>
        <w:rPr>
          <w:color w:val="0000ff"/>
          <w:sz w:val="20"/>
          <w:szCs w:val="20"/>
        </w:rPr>
        <w:t>[4436]</w:t>
      </w:r>
      <w:r>
        <w:fldChar w:fldCharType="end"/>
      </w:r>
      <w:r>
        <w:t xml:space="preserve">, </w:t>
      </w:r>
      <w:r>
        <w:fldChar w:fldCharType="begin"/>
      </w:r>
      <w:r>
        <w:instrText xml:space="preserve">REF abs57 \h</w:instrText>
      </w:r>
      <w:r>
        <w:fldChar w:fldCharType="separate"/>
      </w:r>
      <w:r>
        <w:rPr>
          <w:color w:val="0000ff"/>
          <w:sz w:val="20"/>
          <w:szCs w:val="20"/>
        </w:rPr>
        <w:t>[4439]</w:t>
      </w:r>
      <w:r>
        <w:fldChar w:fldCharType="end"/>
      </w:r>
      <w:r>
        <w:t xml:space="preserve">, </w:t>
      </w:r>
      <w:r>
        <w:fldChar w:fldCharType="begin"/>
      </w:r>
      <w:r>
        <w:instrText xml:space="preserve">REF abs58 \h</w:instrText>
      </w:r>
      <w:r>
        <w:fldChar w:fldCharType="separate"/>
      </w:r>
      <w:r>
        <w:rPr>
          <w:color w:val="0000ff"/>
          <w:sz w:val="20"/>
          <w:szCs w:val="20"/>
        </w:rPr>
        <w:t>[4605]</w:t>
      </w:r>
      <w:r>
        <w:fldChar w:fldCharType="end"/>
      </w:r>
      <w:r>
        <w:t xml:space="preserve">, </w:t>
      </w:r>
      <w:r>
        <w:fldChar w:fldCharType="begin"/>
      </w:r>
      <w:r>
        <w:instrText xml:space="preserve">REF abs59 \h</w:instrText>
      </w:r>
      <w:r>
        <w:fldChar w:fldCharType="separate"/>
      </w:r>
      <w:r>
        <w:rPr>
          <w:color w:val="0000ff"/>
          <w:sz w:val="20"/>
          <w:szCs w:val="20"/>
        </w:rPr>
        <w:t>[4750]</w:t>
      </w:r>
      <w:r>
        <w:fldChar w:fldCharType="end"/>
      </w:r>
      <w:r>
        <w:t xml:space="preserve">, </w:t>
      </w:r>
      <w:r>
        <w:fldChar w:fldCharType="begin"/>
      </w:r>
      <w:r>
        <w:instrText xml:space="preserve">REF abs60 \h</w:instrText>
      </w:r>
      <w:r>
        <w:fldChar w:fldCharType="separate"/>
      </w:r>
      <w:r>
        <w:rPr>
          <w:color w:val="0000ff"/>
          <w:sz w:val="20"/>
          <w:szCs w:val="20"/>
        </w:rPr>
        <w:t>[4942]</w:t>
      </w:r>
      <w:r>
        <w:fldChar w:fldCharType="end"/>
      </w:r>
      <w:r>
        <w:t xml:space="preserve">, </w:t>
      </w:r>
      <w:r>
        <w:fldChar w:fldCharType="begin"/>
      </w:r>
      <w:r>
        <w:instrText xml:space="preserve">REF abs61 \h</w:instrText>
      </w:r>
      <w:r>
        <w:fldChar w:fldCharType="separate"/>
      </w:r>
      <w:r>
        <w:rPr>
          <w:color w:val="0000ff"/>
          <w:sz w:val="20"/>
          <w:szCs w:val="20"/>
        </w:rPr>
        <w:t>[4992]</w:t>
      </w:r>
      <w:r>
        <w:fldChar w:fldCharType="end"/>
      </w:r>
      <w:r>
        <w:t xml:space="preserve">, </w:t>
      </w:r>
      <w:r>
        <w:fldChar w:fldCharType="begin"/>
      </w:r>
      <w:r>
        <w:instrText xml:space="preserve">REF abs62 \h</w:instrText>
      </w:r>
      <w:r>
        <w:fldChar w:fldCharType="separate"/>
      </w:r>
      <w:r>
        <w:rPr>
          <w:color w:val="0000ff"/>
          <w:sz w:val="20"/>
          <w:szCs w:val="20"/>
        </w:rPr>
        <w:t>[5008]</w:t>
      </w:r>
      <w:r>
        <w:fldChar w:fldCharType="end"/>
      </w:r>
      <w:r>
        <w:t xml:space="preserve">, </w:t>
      </w:r>
      <w:r>
        <w:fldChar w:fldCharType="begin"/>
      </w:r>
      <w:r>
        <w:instrText xml:space="preserve">REF abs63 \h</w:instrText>
      </w:r>
      <w:r>
        <w:fldChar w:fldCharType="separate"/>
      </w:r>
      <w:r>
        <w:rPr>
          <w:color w:val="0000ff"/>
          <w:sz w:val="20"/>
          <w:szCs w:val="20"/>
        </w:rPr>
        <w:t>[5093]</w:t>
      </w:r>
      <w:r>
        <w:fldChar w:fldCharType="end"/>
      </w:r>
      <w:r>
        <w:t xml:space="preserve">, </w:t>
      </w:r>
      <w:r>
        <w:fldChar w:fldCharType="begin"/>
      </w:r>
      <w:r>
        <w:instrText xml:space="preserve">REF abs64 \h</w:instrText>
      </w:r>
      <w:r>
        <w:fldChar w:fldCharType="separate"/>
      </w:r>
      <w:r>
        <w:rPr>
          <w:color w:val="0000ff"/>
          <w:sz w:val="20"/>
          <w:szCs w:val="20"/>
        </w:rPr>
        <w:t>[5111]</w:t>
      </w:r>
      <w:r>
        <w:fldChar w:fldCharType="end"/>
      </w:r>
      <w:r>
        <w:t xml:space="preserve">, </w:t>
      </w:r>
      <w:r>
        <w:fldChar w:fldCharType="begin"/>
      </w:r>
      <w:r>
        <w:instrText xml:space="preserve">REF abs65 \h</w:instrText>
      </w:r>
      <w:r>
        <w:fldChar w:fldCharType="separate"/>
      </w:r>
      <w:r>
        <w:rPr>
          <w:color w:val="0000ff"/>
          <w:sz w:val="20"/>
          <w:szCs w:val="20"/>
        </w:rPr>
        <w:t>[5137]</w:t>
      </w:r>
      <w:r>
        <w:fldChar w:fldCharType="end"/>
      </w:r>
      <w:r>
        <w:t xml:space="preserve">, </w:t>
      </w:r>
      <w:r>
        <w:fldChar w:fldCharType="begin"/>
      </w:r>
      <w:r>
        <w:instrText xml:space="preserve">REF abs66 \h</w:instrText>
      </w:r>
      <w:r>
        <w:fldChar w:fldCharType="separate"/>
      </w:r>
      <w:r>
        <w:rPr>
          <w:color w:val="0000ff"/>
          <w:sz w:val="20"/>
          <w:szCs w:val="20"/>
        </w:rPr>
        <w:t>[5160]</w:t>
      </w:r>
      <w:r>
        <w:fldChar w:fldCharType="end"/>
      </w:r>
      <w:r>
        <w:t xml:space="preserve">, </w:t>
      </w:r>
      <w:r>
        <w:fldChar w:fldCharType="begin"/>
      </w:r>
      <w:r>
        <w:instrText xml:space="preserve">REF abs67 \h</w:instrText>
      </w:r>
      <w:r>
        <w:fldChar w:fldCharType="separate"/>
      </w:r>
      <w:r>
        <w:rPr>
          <w:color w:val="0000ff"/>
          <w:sz w:val="20"/>
          <w:szCs w:val="20"/>
        </w:rPr>
        <w:t>[5165]</w:t>
      </w:r>
      <w:r>
        <w:fldChar w:fldCharType="end"/>
      </w:r>
      <w:r>
        <w:t xml:space="preserve">, </w:t>
      </w:r>
      <w:r>
        <w:fldChar w:fldCharType="begin"/>
      </w:r>
      <w:r>
        <w:instrText xml:space="preserve">REF abs68 \h</w:instrText>
      </w:r>
      <w:r>
        <w:fldChar w:fldCharType="separate"/>
      </w:r>
      <w:r>
        <w:rPr>
          <w:color w:val="0000ff"/>
          <w:sz w:val="20"/>
          <w:szCs w:val="20"/>
        </w:rPr>
        <w:t>[5281]</w:t>
      </w:r>
      <w:r>
        <w:fldChar w:fldCharType="end"/>
      </w:r>
      <w:r>
        <w:t xml:space="preserve">, </w:t>
      </w:r>
      <w:r>
        <w:fldChar w:fldCharType="begin"/>
      </w:r>
      <w:r>
        <w:instrText xml:space="preserve">REF abs69 \h</w:instrText>
      </w:r>
      <w:r>
        <w:fldChar w:fldCharType="separate"/>
      </w:r>
      <w:r>
        <w:rPr>
          <w:color w:val="0000ff"/>
          <w:sz w:val="20"/>
          <w:szCs w:val="20"/>
        </w:rPr>
        <w:t>[5472]</w:t>
      </w:r>
      <w:r>
        <w:fldChar w:fldCharType="end"/>
      </w:r>
      <w:r>
        <w:t xml:space="preserve">, </w:t>
      </w:r>
      <w:r>
        <w:fldChar w:fldCharType="begin"/>
      </w:r>
      <w:r>
        <w:instrText xml:space="preserve">REF abs70 \h</w:instrText>
      </w:r>
      <w:r>
        <w:fldChar w:fldCharType="separate"/>
      </w:r>
      <w:r>
        <w:rPr>
          <w:color w:val="0000ff"/>
          <w:sz w:val="20"/>
          <w:szCs w:val="20"/>
        </w:rPr>
        <w:t>[5483]</w:t>
      </w:r>
      <w:r>
        <w:fldChar w:fldCharType="end"/>
      </w:r>
      <w:r>
        <w:t xml:space="preserve">, </w:t>
      </w:r>
      <w:r>
        <w:fldChar w:fldCharType="begin"/>
      </w:r>
      <w:r>
        <w:instrText xml:space="preserve">REF abs71 \h</w:instrText>
      </w:r>
      <w:r>
        <w:fldChar w:fldCharType="separate"/>
      </w:r>
      <w:r>
        <w:rPr>
          <w:color w:val="0000ff"/>
          <w:sz w:val="20"/>
          <w:szCs w:val="20"/>
        </w:rPr>
        <w:t>[5554]</w:t>
      </w:r>
      <w:r>
        <w:fldChar w:fldCharType="end"/>
      </w:r>
      <w:r>
        <w:t xml:space="preserve">, </w:t>
      </w:r>
      <w:r>
        <w:fldChar w:fldCharType="begin"/>
      </w:r>
      <w:r>
        <w:instrText xml:space="preserve">REF abs72 \h</w:instrText>
      </w:r>
      <w:r>
        <w:fldChar w:fldCharType="separate"/>
      </w:r>
      <w:r>
        <w:rPr>
          <w:color w:val="0000ff"/>
          <w:sz w:val="20"/>
          <w:szCs w:val="20"/>
        </w:rPr>
        <w:t>[5572]</w:t>
      </w:r>
      <w:r>
        <w:fldChar w:fldCharType="end"/>
      </w:r>
      <w:r>
        <w:t xml:space="preserve">, </w:t>
      </w:r>
      <w:r>
        <w:fldChar w:fldCharType="begin"/>
      </w:r>
      <w:r>
        <w:instrText xml:space="preserve">REF abs73 \h</w:instrText>
      </w:r>
      <w:r>
        <w:fldChar w:fldCharType="separate"/>
      </w:r>
      <w:r>
        <w:rPr>
          <w:color w:val="0000ff"/>
          <w:sz w:val="20"/>
          <w:szCs w:val="20"/>
        </w:rPr>
        <w:t>[5650]</w:t>
      </w:r>
      <w:r>
        <w:fldChar w:fldCharType="end"/>
      </w:r>
      <w:r>
        <w:t xml:space="preserve">, </w:t>
      </w:r>
      <w:r>
        <w:fldChar w:fldCharType="begin"/>
      </w:r>
      <w:r>
        <w:instrText xml:space="preserve">REF abs74 \h</w:instrText>
      </w:r>
      <w:r>
        <w:fldChar w:fldCharType="separate"/>
      </w:r>
      <w:r>
        <w:rPr>
          <w:color w:val="0000ff"/>
          <w:sz w:val="20"/>
          <w:szCs w:val="20"/>
        </w:rPr>
        <w:t>[5718]</w:t>
      </w:r>
      <w:r>
        <w:fldChar w:fldCharType="end"/>
      </w:r>
      <w:r>
        <w:t xml:space="preserve">, </w:t>
      </w:r>
      <w:r>
        <w:fldChar w:fldCharType="begin"/>
      </w:r>
      <w:r>
        <w:instrText xml:space="preserve">REF abs75 \h</w:instrText>
      </w:r>
      <w:r>
        <w:fldChar w:fldCharType="separate"/>
      </w:r>
      <w:r>
        <w:rPr>
          <w:color w:val="0000ff"/>
          <w:sz w:val="20"/>
          <w:szCs w:val="20"/>
        </w:rPr>
        <w:t>[5735]</w:t>
      </w:r>
      <w:r>
        <w:fldChar w:fldCharType="end"/>
      </w:r>
      <w:r>
        <w:t xml:space="preserve">, </w:t>
      </w:r>
      <w:r>
        <w:fldChar w:fldCharType="begin"/>
      </w:r>
      <w:r>
        <w:instrText xml:space="preserve">REF abs76 \h</w:instrText>
      </w:r>
      <w:r>
        <w:fldChar w:fldCharType="separate"/>
      </w:r>
      <w:r>
        <w:rPr>
          <w:color w:val="0000ff"/>
          <w:sz w:val="20"/>
          <w:szCs w:val="20"/>
        </w:rPr>
        <w:t>[5780]</w:t>
      </w:r>
      <w:r>
        <w:fldChar w:fldCharType="end"/>
      </w:r>
      <w:r>
        <w:t xml:space="preserve">, </w:t>
      </w:r>
      <w:r>
        <w:fldChar w:fldCharType="begin"/>
      </w:r>
      <w:r>
        <w:instrText xml:space="preserve">REF abs77 \h</w:instrText>
      </w:r>
      <w:r>
        <w:fldChar w:fldCharType="separate"/>
      </w:r>
      <w:r>
        <w:rPr>
          <w:color w:val="0000ff"/>
          <w:sz w:val="20"/>
          <w:szCs w:val="20"/>
        </w:rPr>
        <w:t>[5785]</w:t>
      </w:r>
      <w:r>
        <w:fldChar w:fldCharType="end"/>
      </w:r>
      <w:r>
        <w:t xml:space="preserve">, </w:t>
      </w:r>
      <w:r>
        <w:fldChar w:fldCharType="begin"/>
      </w:r>
      <w:r>
        <w:instrText xml:space="preserve">REF abs78 \h</w:instrText>
      </w:r>
      <w:r>
        <w:fldChar w:fldCharType="separate"/>
      </w:r>
      <w:r>
        <w:rPr>
          <w:color w:val="0000ff"/>
          <w:sz w:val="20"/>
          <w:szCs w:val="20"/>
        </w:rPr>
        <w:t>[5798]</w:t>
      </w:r>
      <w:r>
        <w:fldChar w:fldCharType="end"/>
      </w:r>
      <w:r>
        <w:t xml:space="preserve">, </w:t>
      </w:r>
      <w:r>
        <w:fldChar w:fldCharType="begin"/>
      </w:r>
      <w:r>
        <w:instrText xml:space="preserve">REF abs79 \h</w:instrText>
      </w:r>
      <w:r>
        <w:fldChar w:fldCharType="separate"/>
      </w:r>
      <w:r>
        <w:rPr>
          <w:color w:val="0000ff"/>
          <w:sz w:val="20"/>
          <w:szCs w:val="20"/>
        </w:rPr>
        <w:t>[5880]</w:t>
      </w:r>
      <w:r>
        <w:fldChar w:fldCharType="end"/>
      </w:r>
      <w:r>
        <w:t xml:space="preserve">, </w:t>
      </w:r>
      <w:r>
        <w:fldChar w:fldCharType="begin"/>
      </w:r>
      <w:r>
        <w:instrText xml:space="preserve">REF abs80 \h</w:instrText>
      </w:r>
      <w:r>
        <w:fldChar w:fldCharType="separate"/>
      </w:r>
      <w:r>
        <w:rPr>
          <w:color w:val="0000ff"/>
          <w:sz w:val="20"/>
          <w:szCs w:val="20"/>
        </w:rPr>
        <w:t>[5903]</w:t>
      </w:r>
      <w:r>
        <w:fldChar w:fldCharType="end"/>
      </w:r>
      <w:r>
        <w:t xml:space="preserve">, </w:t>
      </w:r>
      <w:r>
        <w:fldChar w:fldCharType="begin"/>
      </w:r>
      <w:r>
        <w:instrText xml:space="preserve">REF abs81 \h</w:instrText>
      </w:r>
      <w:r>
        <w:fldChar w:fldCharType="separate"/>
      </w:r>
      <w:r>
        <w:rPr>
          <w:color w:val="0000ff"/>
          <w:sz w:val="20"/>
          <w:szCs w:val="20"/>
        </w:rPr>
        <w:t>[5943]</w:t>
      </w:r>
      <w:r>
        <w:fldChar w:fldCharType="end"/>
      </w:r>
      <w:r>
        <w:t xml:space="preserve">, </w:t>
      </w:r>
      <w:r>
        <w:fldChar w:fldCharType="begin"/>
      </w:r>
      <w:r>
        <w:instrText xml:space="preserve">REF abs82 \h</w:instrText>
      </w:r>
      <w:r>
        <w:fldChar w:fldCharType="separate"/>
      </w:r>
      <w:r>
        <w:rPr>
          <w:color w:val="0000ff"/>
          <w:sz w:val="20"/>
          <w:szCs w:val="20"/>
        </w:rPr>
        <w:t>[5985]</w:t>
      </w:r>
      <w:r>
        <w:fldChar w:fldCharType="end"/>
      </w:r>
      <w:r>
        <w:t xml:space="preserve">, </w:t>
      </w:r>
      <w:r>
        <w:fldChar w:fldCharType="begin"/>
      </w:r>
      <w:r>
        <w:instrText xml:space="preserve">REF abs83 \h</w:instrText>
      </w:r>
      <w:r>
        <w:fldChar w:fldCharType="separate"/>
      </w:r>
      <w:r>
        <w:rPr>
          <w:color w:val="0000ff"/>
          <w:sz w:val="20"/>
          <w:szCs w:val="20"/>
        </w:rPr>
        <w:t>[6107]</w:t>
      </w:r>
      <w:r>
        <w:fldChar w:fldCharType="end"/>
      </w:r>
      <w:r>
        <w:t xml:space="preserve">, </w:t>
      </w:r>
      <w:r>
        <w:fldChar w:fldCharType="begin"/>
      </w:r>
      <w:r>
        <w:instrText xml:space="preserve">REF abs84 \h</w:instrText>
      </w:r>
      <w:r>
        <w:fldChar w:fldCharType="separate"/>
      </w:r>
      <w:r>
        <w:rPr>
          <w:color w:val="0000ff"/>
          <w:sz w:val="20"/>
          <w:szCs w:val="20"/>
        </w:rPr>
        <w:t>[6249]</w:t>
      </w:r>
      <w:r>
        <w:fldChar w:fldCharType="end"/>
      </w:r>
      <w:r>
        <w:t xml:space="preserve">, </w:t>
      </w:r>
      <w:r>
        <w:fldChar w:fldCharType="begin"/>
      </w:r>
      <w:r>
        <w:instrText xml:space="preserve">REF abs85 \h</w:instrText>
      </w:r>
      <w:r>
        <w:fldChar w:fldCharType="separate"/>
      </w:r>
      <w:r>
        <w:rPr>
          <w:color w:val="0000ff"/>
          <w:sz w:val="20"/>
          <w:szCs w:val="20"/>
        </w:rPr>
        <w:t>[6252]</w:t>
      </w:r>
      <w:r>
        <w:fldChar w:fldCharType="end"/>
      </w:r>
      <w:r>
        <w:t xml:space="preserve">, </w:t>
      </w:r>
      <w:r>
        <w:fldChar w:fldCharType="begin"/>
      </w:r>
      <w:r>
        <w:instrText xml:space="preserve">REF abs86 \h</w:instrText>
      </w:r>
      <w:r>
        <w:fldChar w:fldCharType="separate"/>
      </w:r>
      <w:r>
        <w:rPr>
          <w:color w:val="0000ff"/>
          <w:sz w:val="20"/>
          <w:szCs w:val="20"/>
        </w:rPr>
        <w:t>[6316]</w:t>
      </w:r>
      <w:r>
        <w:fldChar w:fldCharType="end"/>
      </w:r>
      <w:r>
        <w:t xml:space="preserve">, </w:t>
      </w:r>
      <w:r>
        <w:fldChar w:fldCharType="begin"/>
      </w:r>
      <w:r>
        <w:instrText xml:space="preserve">REF abs87 \h</w:instrText>
      </w:r>
      <w:r>
        <w:fldChar w:fldCharType="separate"/>
      </w:r>
      <w:r>
        <w:rPr>
          <w:color w:val="0000ff"/>
          <w:sz w:val="20"/>
          <w:szCs w:val="20"/>
        </w:rPr>
        <w:t>[6368]</w:t>
      </w:r>
      <w:r>
        <w:fldChar w:fldCharType="end"/>
      </w:r>
      <w:r>
        <w:t xml:space="preserve">, </w:t>
      </w:r>
      <w:r>
        <w:fldChar w:fldCharType="begin"/>
      </w:r>
      <w:r>
        <w:instrText xml:space="preserve">REF abs88 \h</w:instrText>
      </w:r>
      <w:r>
        <w:fldChar w:fldCharType="separate"/>
      </w:r>
      <w:r>
        <w:rPr>
          <w:color w:val="0000ff"/>
          <w:sz w:val="20"/>
          <w:szCs w:val="20"/>
        </w:rPr>
        <w:t>[6563]</w:t>
      </w:r>
      <w:r>
        <w:fldChar w:fldCharType="end"/>
      </w:r>
      <w:r>
        <w:t xml:space="preserve">, </w:t>
      </w:r>
      <w:r>
        <w:fldChar w:fldCharType="begin"/>
      </w:r>
      <w:r>
        <w:instrText xml:space="preserve">REF abs89 \h</w:instrText>
      </w:r>
      <w:r>
        <w:fldChar w:fldCharType="separate"/>
      </w:r>
      <w:r>
        <w:rPr>
          <w:color w:val="0000ff"/>
          <w:sz w:val="20"/>
          <w:szCs w:val="20"/>
        </w:rPr>
        <w:t>[6571]</w:t>
      </w:r>
      <w:r>
        <w:fldChar w:fldCharType="end"/>
      </w:r>
      <w:r>
        <w:t xml:space="preserve">, </w:t>
      </w:r>
      <w:r>
        <w:fldChar w:fldCharType="begin"/>
      </w:r>
      <w:r>
        <w:instrText xml:space="preserve">REF abs90 \h</w:instrText>
      </w:r>
      <w:r>
        <w:fldChar w:fldCharType="separate"/>
      </w:r>
      <w:r>
        <w:rPr>
          <w:color w:val="0000ff"/>
          <w:sz w:val="20"/>
          <w:szCs w:val="20"/>
        </w:rPr>
        <w:t>[6621]</w:t>
      </w:r>
      <w:r>
        <w:fldChar w:fldCharType="end"/>
      </w:r>
      <w:r>
        <w:t xml:space="preserve">, </w:t>
      </w:r>
      <w:r>
        <w:fldChar w:fldCharType="begin"/>
      </w:r>
      <w:r>
        <w:instrText xml:space="preserve">REF abs91 \h</w:instrText>
      </w:r>
      <w:r>
        <w:fldChar w:fldCharType="separate"/>
      </w:r>
      <w:r>
        <w:rPr>
          <w:color w:val="0000ff"/>
          <w:sz w:val="20"/>
          <w:szCs w:val="20"/>
        </w:rPr>
        <w:t>[6653]</w:t>
      </w:r>
      <w:r>
        <w:fldChar w:fldCharType="end"/>
      </w:r>
      <w:r>
        <w:t xml:space="preserve">, </w:t>
      </w:r>
      <w:r>
        <w:fldChar w:fldCharType="begin"/>
      </w:r>
      <w:r>
        <w:instrText xml:space="preserve">REF abs92 \h</w:instrText>
      </w:r>
      <w:r>
        <w:fldChar w:fldCharType="separate"/>
      </w:r>
      <w:r>
        <w:rPr>
          <w:color w:val="0000ff"/>
          <w:sz w:val="20"/>
          <w:szCs w:val="20"/>
        </w:rPr>
        <w:t>[6801]</w:t>
      </w:r>
      <w:r>
        <w:fldChar w:fldCharType="end"/>
      </w:r>
      <w:r>
        <w:t xml:space="preserve">, </w:t>
      </w:r>
      <w:r>
        <w:fldChar w:fldCharType="begin"/>
      </w:r>
      <w:r>
        <w:instrText xml:space="preserve">REF abs93 \h</w:instrText>
      </w:r>
      <w:r>
        <w:fldChar w:fldCharType="separate"/>
      </w:r>
      <w:r>
        <w:rPr>
          <w:color w:val="0000ff"/>
          <w:sz w:val="20"/>
          <w:szCs w:val="20"/>
        </w:rPr>
        <w:t>[6818]</w:t>
      </w:r>
      <w:r>
        <w:fldChar w:fldCharType="end"/>
      </w:r>
      <w:r>
        <w:t xml:space="preserve">, </w:t>
      </w:r>
      <w:r>
        <w:fldChar w:fldCharType="begin"/>
      </w:r>
      <w:r>
        <w:instrText xml:space="preserve">REF abs94 \h</w:instrText>
      </w:r>
      <w:r>
        <w:fldChar w:fldCharType="separate"/>
      </w:r>
      <w:r>
        <w:rPr>
          <w:color w:val="0000ff"/>
          <w:sz w:val="20"/>
          <w:szCs w:val="20"/>
        </w:rPr>
        <w:t>[6942]</w:t>
      </w:r>
      <w:r>
        <w:fldChar w:fldCharType="end"/>
      </w:r>
      <w:r>
        <w:t xml:space="preserve">, </w:t>
      </w:r>
      <w:r>
        <w:fldChar w:fldCharType="begin"/>
      </w:r>
      <w:r>
        <w:instrText xml:space="preserve">REF abs95 \h</w:instrText>
      </w:r>
      <w:r>
        <w:fldChar w:fldCharType="separate"/>
      </w:r>
      <w:r>
        <w:rPr>
          <w:color w:val="0000ff"/>
          <w:sz w:val="20"/>
          <w:szCs w:val="20"/>
        </w:rPr>
        <w:t>[7032]</w:t>
      </w:r>
      <w:r>
        <w:fldChar w:fldCharType="end"/>
      </w:r>
      <w:r>
        <w:t xml:space="preserve">, </w:t>
      </w:r>
      <w:r>
        <w:fldChar w:fldCharType="begin"/>
      </w:r>
      <w:r>
        <w:instrText xml:space="preserve">REF abs96 \h</w:instrText>
      </w:r>
      <w:r>
        <w:fldChar w:fldCharType="separate"/>
      </w:r>
      <w:r>
        <w:rPr>
          <w:color w:val="0000ff"/>
          <w:sz w:val="20"/>
          <w:szCs w:val="20"/>
        </w:rPr>
        <w:t>[7103]</w:t>
      </w:r>
      <w:r>
        <w:fldChar w:fldCharType="end"/>
      </w:r>
      <w:r>
        <w:t xml:space="preserve">, </w:t>
      </w:r>
      <w:r>
        <w:fldChar w:fldCharType="begin"/>
      </w:r>
      <w:r>
        <w:instrText xml:space="preserve">REF abs97 \h</w:instrText>
      </w:r>
      <w:r>
        <w:fldChar w:fldCharType="separate"/>
      </w:r>
      <w:r>
        <w:rPr>
          <w:color w:val="0000ff"/>
          <w:sz w:val="20"/>
          <w:szCs w:val="20"/>
        </w:rPr>
        <w:t>[7168]</w:t>
      </w:r>
      <w:r>
        <w:fldChar w:fldCharType="end"/>
      </w:r>
      <w:r>
        <w:t xml:space="preserve">, </w:t>
      </w:r>
      <w:r>
        <w:fldChar w:fldCharType="begin"/>
      </w:r>
      <w:r>
        <w:instrText xml:space="preserve">REF abs98 \h</w:instrText>
      </w:r>
      <w:r>
        <w:fldChar w:fldCharType="separate"/>
      </w:r>
      <w:r>
        <w:rPr>
          <w:color w:val="0000ff"/>
          <w:sz w:val="20"/>
          <w:szCs w:val="20"/>
        </w:rPr>
        <w:t>[7268]</w:t>
      </w:r>
      <w:r>
        <w:fldChar w:fldCharType="end"/>
      </w:r>
      <w:r>
        <w:t xml:space="preserve">, </w:t>
      </w:r>
      <w:r>
        <w:fldChar w:fldCharType="begin"/>
      </w:r>
      <w:r>
        <w:instrText xml:space="preserve">REF abs99 \h</w:instrText>
      </w:r>
      <w:r>
        <w:fldChar w:fldCharType="separate"/>
      </w:r>
      <w:r>
        <w:rPr>
          <w:color w:val="0000ff"/>
          <w:sz w:val="20"/>
          <w:szCs w:val="20"/>
        </w:rPr>
        <w:t>[7315]</w:t>
      </w:r>
      <w:r>
        <w:fldChar w:fldCharType="end"/>
      </w:r>
      <w:r>
        <w:t xml:space="preserve">, </w:t>
      </w:r>
      <w:r>
        <w:fldChar w:fldCharType="begin"/>
      </w:r>
      <w:r>
        <w:instrText xml:space="preserve">REF abs100 \h</w:instrText>
      </w:r>
      <w:r>
        <w:fldChar w:fldCharType="separate"/>
      </w:r>
      <w:r>
        <w:rPr>
          <w:color w:val="0000ff"/>
          <w:sz w:val="20"/>
          <w:szCs w:val="20"/>
        </w:rPr>
        <w:t>[7546]</w:t>
      </w:r>
      <w:r>
        <w:fldChar w:fldCharType="end"/>
      </w:r>
      <w:r>
        <w:t xml:space="preserve">, </w:t>
      </w:r>
      <w:r>
        <w:fldChar w:fldCharType="begin"/>
      </w:r>
      <w:r>
        <w:instrText xml:space="preserve">REF abs101 \h</w:instrText>
      </w:r>
      <w:r>
        <w:fldChar w:fldCharType="separate"/>
      </w:r>
      <w:r>
        <w:rPr>
          <w:color w:val="0000ff"/>
          <w:sz w:val="20"/>
          <w:szCs w:val="20"/>
        </w:rPr>
        <w:t>[7641]</w:t>
      </w:r>
      <w:r>
        <w:fldChar w:fldCharType="end"/>
      </w:r>
      <w:r>
        <w:t xml:space="preserve">, </w:t>
      </w:r>
      <w:r>
        <w:fldChar w:fldCharType="begin"/>
      </w:r>
      <w:r>
        <w:instrText xml:space="preserve">REF abs102 \h</w:instrText>
      </w:r>
      <w:r>
        <w:fldChar w:fldCharType="separate"/>
      </w:r>
      <w:r>
        <w:rPr>
          <w:color w:val="0000ff"/>
          <w:sz w:val="20"/>
          <w:szCs w:val="20"/>
        </w:rPr>
        <w:t>[7666]</w:t>
      </w:r>
      <w:r>
        <w:fldChar w:fldCharType="end"/>
      </w:r>
      <w:r>
        <w:t xml:space="preserve">, </w:t>
      </w:r>
      <w:r>
        <w:fldChar w:fldCharType="begin"/>
      </w:r>
      <w:r>
        <w:instrText xml:space="preserve">REF abs103 \h</w:instrText>
      </w:r>
      <w:r>
        <w:fldChar w:fldCharType="separate"/>
      </w:r>
      <w:r>
        <w:rPr>
          <w:color w:val="0000ff"/>
          <w:sz w:val="20"/>
          <w:szCs w:val="20"/>
        </w:rPr>
        <w:t>[7765]</w:t>
      </w:r>
      <w:r>
        <w:fldChar w:fldCharType="end"/>
      </w:r>
      <w:r>
        <w:t xml:space="preserve">, </w:t>
      </w:r>
      <w:r>
        <w:fldChar w:fldCharType="begin"/>
      </w:r>
      <w:r>
        <w:instrText xml:space="preserve">REF abs104 \h</w:instrText>
      </w:r>
      <w:r>
        <w:fldChar w:fldCharType="separate"/>
      </w:r>
      <w:r>
        <w:rPr>
          <w:color w:val="0000ff"/>
          <w:sz w:val="20"/>
          <w:szCs w:val="20"/>
        </w:rPr>
        <w:t>[7879]</w:t>
      </w:r>
      <w:r>
        <w:fldChar w:fldCharType="end"/>
      </w:r>
      <w:r>
        <w:t xml:space="preserve">, </w:t>
      </w:r>
      <w:r>
        <w:fldChar w:fldCharType="begin"/>
      </w:r>
      <w:r>
        <w:instrText xml:space="preserve">REF abs105 \h</w:instrText>
      </w:r>
      <w:r>
        <w:fldChar w:fldCharType="separate"/>
      </w:r>
      <w:r>
        <w:rPr>
          <w:color w:val="0000ff"/>
          <w:sz w:val="20"/>
          <w:szCs w:val="20"/>
        </w:rPr>
        <w:t>[8241]</w:t>
      </w:r>
      <w:r>
        <w:fldChar w:fldCharType="end"/>
      </w:r>
      <w:r>
        <w:t xml:space="preserve">, </w:t>
      </w:r>
      <w:r>
        <w:fldChar w:fldCharType="begin"/>
      </w:r>
      <w:r>
        <w:instrText xml:space="preserve">REF abs106 \h</w:instrText>
      </w:r>
      <w:r>
        <w:fldChar w:fldCharType="separate"/>
      </w:r>
      <w:r>
        <w:rPr>
          <w:color w:val="0000ff"/>
          <w:sz w:val="20"/>
          <w:szCs w:val="20"/>
        </w:rPr>
        <w:t>[8343]</w:t>
      </w:r>
      <w:r>
        <w:fldChar w:fldCharType="end"/>
      </w:r>
      <w:r>
        <w:t xml:space="preserve">, </w:t>
      </w:r>
      <w:r>
        <w:fldChar w:fldCharType="begin"/>
      </w:r>
      <w:r>
        <w:instrText xml:space="preserve">REF abs107 \h</w:instrText>
      </w:r>
      <w:r>
        <w:fldChar w:fldCharType="separate"/>
      </w:r>
      <w:r>
        <w:rPr>
          <w:color w:val="0000ff"/>
          <w:sz w:val="20"/>
          <w:szCs w:val="20"/>
        </w:rPr>
        <w:t>[8350]</w:t>
      </w:r>
      <w:r>
        <w:fldChar w:fldCharType="end"/>
      </w:r>
      <w:r>
        <w:t xml:space="preserve">, </w:t>
      </w:r>
      <w:r>
        <w:fldChar w:fldCharType="begin"/>
      </w:r>
      <w:r>
        <w:instrText xml:space="preserve">REF abs108 \h</w:instrText>
      </w:r>
      <w:r>
        <w:fldChar w:fldCharType="separate"/>
      </w:r>
      <w:r>
        <w:rPr>
          <w:color w:val="0000ff"/>
          <w:sz w:val="20"/>
          <w:szCs w:val="20"/>
        </w:rPr>
        <w:t>[8354]</w:t>
      </w:r>
      <w:r>
        <w:fldChar w:fldCharType="end"/>
      </w:r>
      <w:r>
        <w:t xml:space="preserve">, </w:t>
      </w:r>
      <w:r>
        <w:fldChar w:fldCharType="begin"/>
      </w:r>
      <w:r>
        <w:instrText xml:space="preserve">REF abs109 \h</w:instrText>
      </w:r>
      <w:r>
        <w:fldChar w:fldCharType="separate"/>
      </w:r>
      <w:r>
        <w:rPr>
          <w:color w:val="0000ff"/>
          <w:sz w:val="20"/>
          <w:szCs w:val="20"/>
        </w:rPr>
        <w:t>[8403]</w:t>
      </w:r>
      <w:r>
        <w:fldChar w:fldCharType="end"/>
      </w:r>
      <w:r>
        <w:t xml:space="preserve">, </w:t>
      </w:r>
      <w:r>
        <w:fldChar w:fldCharType="begin"/>
      </w:r>
      <w:r>
        <w:instrText xml:space="preserve">REF abs110 \h</w:instrText>
      </w:r>
      <w:r>
        <w:fldChar w:fldCharType="separate"/>
      </w:r>
      <w:r>
        <w:rPr>
          <w:color w:val="0000ff"/>
          <w:sz w:val="20"/>
          <w:szCs w:val="20"/>
        </w:rPr>
        <w:t>[8449]</w:t>
      </w:r>
      <w:r>
        <w:fldChar w:fldCharType="end"/>
      </w:r>
      <w:r>
        <w:t xml:space="preserve">, </w:t>
      </w:r>
      <w:r>
        <w:fldChar w:fldCharType="begin"/>
      </w:r>
      <w:r>
        <w:instrText xml:space="preserve">REF abs111 \h</w:instrText>
      </w:r>
      <w:r>
        <w:fldChar w:fldCharType="separate"/>
      </w:r>
      <w:r>
        <w:rPr>
          <w:color w:val="0000ff"/>
          <w:sz w:val="20"/>
          <w:szCs w:val="20"/>
        </w:rPr>
        <w:t>[8518]</w:t>
      </w:r>
      <w:r>
        <w:fldChar w:fldCharType="end"/>
      </w:r>
      <w:r>
        <w:t xml:space="preserve">, </w:t>
      </w:r>
      <w:r>
        <w:fldChar w:fldCharType="begin"/>
      </w:r>
      <w:r>
        <w:instrText xml:space="preserve">REF abs112 \h</w:instrText>
      </w:r>
      <w:r>
        <w:fldChar w:fldCharType="separate"/>
      </w:r>
      <w:r>
        <w:rPr>
          <w:color w:val="0000ff"/>
          <w:sz w:val="20"/>
          <w:szCs w:val="20"/>
        </w:rPr>
        <w:t>[8590]</w:t>
      </w:r>
      <w:r>
        <w:fldChar w:fldCharType="end"/>
      </w:r>
      <w:r>
        <w:t xml:space="preserve">, </w:t>
      </w:r>
      <w:r>
        <w:fldChar w:fldCharType="begin"/>
      </w:r>
      <w:r>
        <w:instrText xml:space="preserve">REF abs113 \h</w:instrText>
      </w:r>
      <w:r>
        <w:fldChar w:fldCharType="separate"/>
      </w:r>
      <w:r>
        <w:rPr>
          <w:color w:val="0000ff"/>
          <w:sz w:val="20"/>
          <w:szCs w:val="20"/>
        </w:rPr>
        <w:t>[8688]</w:t>
      </w:r>
      <w:r>
        <w:fldChar w:fldCharType="end"/>
      </w:r>
      <w:r>
        <w:t xml:space="preserve">, </w:t>
      </w:r>
      <w:r>
        <w:fldChar w:fldCharType="begin"/>
      </w:r>
      <w:r>
        <w:instrText xml:space="preserve">REF abs114 \h</w:instrText>
      </w:r>
      <w:r>
        <w:fldChar w:fldCharType="separate"/>
      </w:r>
      <w:r>
        <w:rPr>
          <w:color w:val="0000ff"/>
          <w:sz w:val="20"/>
          <w:szCs w:val="20"/>
        </w:rPr>
        <w:t>[8699]</w:t>
      </w:r>
      <w:r>
        <w:fldChar w:fldCharType="end"/>
      </w:r>
      <w:r>
        <w:t xml:space="preserve">, </w:t>
      </w:r>
      <w:r>
        <w:fldChar w:fldCharType="begin"/>
      </w:r>
      <w:r>
        <w:instrText xml:space="preserve">REF abs115 \h</w:instrText>
      </w:r>
      <w:r>
        <w:fldChar w:fldCharType="separate"/>
      </w:r>
      <w:r>
        <w:rPr>
          <w:color w:val="0000ff"/>
          <w:sz w:val="20"/>
          <w:szCs w:val="20"/>
        </w:rPr>
        <w:t>[8708]</w:t>
      </w:r>
      <w:r>
        <w:fldChar w:fldCharType="end"/>
      </w:r>
      <w:r>
        <w:t xml:space="preserve">, </w:t>
      </w:r>
      <w:r>
        <w:fldChar w:fldCharType="begin"/>
      </w:r>
      <w:r>
        <w:instrText xml:space="preserve">REF abs116 \h</w:instrText>
      </w:r>
      <w:r>
        <w:fldChar w:fldCharType="separate"/>
      </w:r>
      <w:r>
        <w:rPr>
          <w:color w:val="0000ff"/>
          <w:sz w:val="20"/>
          <w:szCs w:val="20"/>
        </w:rPr>
        <w:t>[8809]</w:t>
      </w:r>
      <w:r>
        <w:fldChar w:fldCharType="end"/>
      </w:r>
      <w:r>
        <w:t xml:space="preserve">, </w:t>
      </w:r>
      <w:r>
        <w:fldChar w:fldCharType="begin"/>
      </w:r>
      <w:r>
        <w:instrText xml:space="preserve">REF abs117 \h</w:instrText>
      </w:r>
      <w:r>
        <w:fldChar w:fldCharType="separate"/>
      </w:r>
      <w:r>
        <w:rPr>
          <w:color w:val="0000ff"/>
          <w:sz w:val="20"/>
          <w:szCs w:val="20"/>
        </w:rPr>
        <w:t>[8823]</w:t>
      </w:r>
      <w:r>
        <w:fldChar w:fldCharType="end"/>
      </w:r>
      <w:r>
        <w:t xml:space="preserve">, </w:t>
      </w:r>
      <w:r>
        <w:fldChar w:fldCharType="begin"/>
      </w:r>
      <w:r>
        <w:instrText xml:space="preserve">REF abs118 \h</w:instrText>
      </w:r>
      <w:r>
        <w:fldChar w:fldCharType="separate"/>
      </w:r>
      <w:r>
        <w:rPr>
          <w:color w:val="0000ff"/>
          <w:sz w:val="20"/>
          <w:szCs w:val="20"/>
        </w:rPr>
        <w:t>[8868]</w:t>
      </w:r>
      <w:r>
        <w:fldChar w:fldCharType="end"/>
      </w:r>
      <w:r>
        <w:t xml:space="preserve">, </w:t>
      </w:r>
      <w:r>
        <w:fldChar w:fldCharType="begin"/>
      </w:r>
      <w:r>
        <w:instrText xml:space="preserve">REF abs119 \h</w:instrText>
      </w:r>
      <w:r>
        <w:fldChar w:fldCharType="separate"/>
      </w:r>
      <w:r>
        <w:rPr>
          <w:color w:val="0000ff"/>
          <w:sz w:val="20"/>
          <w:szCs w:val="20"/>
        </w:rPr>
        <w:t>[8946]</w:t>
      </w:r>
      <w:r>
        <w:fldChar w:fldCharType="end"/>
      </w:r>
      <w:r>
        <w:t xml:space="preserve">, </w:t>
      </w:r>
      <w:r>
        <w:fldChar w:fldCharType="begin"/>
      </w:r>
      <w:r>
        <w:instrText xml:space="preserve">REF abs120 \h</w:instrText>
      </w:r>
      <w:r>
        <w:fldChar w:fldCharType="separate"/>
      </w:r>
      <w:r>
        <w:rPr>
          <w:color w:val="0000ff"/>
          <w:sz w:val="20"/>
          <w:szCs w:val="20"/>
        </w:rPr>
        <w:t>[8964]</w:t>
      </w:r>
      <w:r>
        <w:fldChar w:fldCharType="end"/>
      </w:r>
      <w:r>
        <w:t xml:space="preserve">, </w:t>
      </w:r>
      <w:r>
        <w:fldChar w:fldCharType="begin"/>
      </w:r>
      <w:r>
        <w:instrText xml:space="preserve">REF abs121 \h</w:instrText>
      </w:r>
      <w:r>
        <w:fldChar w:fldCharType="separate"/>
      </w:r>
      <w:r>
        <w:rPr>
          <w:color w:val="0000ff"/>
          <w:sz w:val="20"/>
          <w:szCs w:val="20"/>
        </w:rPr>
        <w:t>[9017]</w:t>
      </w:r>
      <w:r>
        <w:fldChar w:fldCharType="end"/>
      </w:r>
      <w:r>
        <w:t xml:space="preserve">, </w:t>
      </w:r>
      <w:r>
        <w:fldChar w:fldCharType="begin"/>
      </w:r>
      <w:r>
        <w:instrText xml:space="preserve">REF abs122 \h</w:instrText>
      </w:r>
      <w:r>
        <w:fldChar w:fldCharType="separate"/>
      </w:r>
      <w:r>
        <w:rPr>
          <w:color w:val="0000ff"/>
          <w:sz w:val="20"/>
          <w:szCs w:val="20"/>
        </w:rPr>
        <w:t>[9052]</w:t>
      </w:r>
      <w:r>
        <w:fldChar w:fldCharType="end"/>
      </w:r>
      <w:r>
        <w:t xml:space="preserve">, </w:t>
      </w:r>
      <w:r>
        <w:fldChar w:fldCharType="begin"/>
      </w:r>
      <w:r>
        <w:instrText xml:space="preserve">REF abs123 \h</w:instrText>
      </w:r>
      <w:r>
        <w:fldChar w:fldCharType="separate"/>
      </w:r>
      <w:r>
        <w:rPr>
          <w:color w:val="0000ff"/>
          <w:sz w:val="20"/>
          <w:szCs w:val="20"/>
        </w:rPr>
        <w:t>[9103]</w:t>
      </w:r>
      <w:r>
        <w:fldChar w:fldCharType="end"/>
      </w:r>
      <w:r>
        <w:t xml:space="preserve">, </w:t>
      </w:r>
      <w:r>
        <w:fldChar w:fldCharType="begin"/>
      </w:r>
      <w:r>
        <w:instrText xml:space="preserve">REF abs124 \h</w:instrText>
      </w:r>
      <w:r>
        <w:fldChar w:fldCharType="separate"/>
      </w:r>
      <w:r>
        <w:rPr>
          <w:color w:val="0000ff"/>
          <w:sz w:val="20"/>
          <w:szCs w:val="20"/>
        </w:rPr>
        <w:t>[9107]</w:t>
      </w:r>
      <w:r>
        <w:fldChar w:fldCharType="end"/>
      </w:r>
      <w:r>
        <w:t xml:space="preserve">, </w:t>
      </w:r>
      <w:r>
        <w:fldChar w:fldCharType="begin"/>
      </w:r>
      <w:r>
        <w:instrText xml:space="preserve">REF abs125 \h</w:instrText>
      </w:r>
      <w:r>
        <w:fldChar w:fldCharType="separate"/>
      </w:r>
      <w:r>
        <w:rPr>
          <w:color w:val="0000ff"/>
          <w:sz w:val="20"/>
          <w:szCs w:val="20"/>
        </w:rPr>
        <w:t>[9201]</w:t>
      </w:r>
      <w:r>
        <w:fldChar w:fldCharType="end"/>
      </w:r>
      <w:r>
        <w:t xml:space="preserve">, </w:t>
      </w:r>
      <w:r>
        <w:fldChar w:fldCharType="begin"/>
      </w:r>
      <w:r>
        <w:instrText xml:space="preserve">REF abs126 \h</w:instrText>
      </w:r>
      <w:r>
        <w:fldChar w:fldCharType="separate"/>
      </w:r>
      <w:r>
        <w:rPr>
          <w:color w:val="0000ff"/>
          <w:sz w:val="20"/>
          <w:szCs w:val="20"/>
        </w:rPr>
        <w:t>[9270]</w:t>
      </w:r>
      <w:r>
        <w:fldChar w:fldCharType="end"/>
      </w:r>
      <w:r>
        <w:t xml:space="preserve">, </w:t>
      </w:r>
      <w:r>
        <w:fldChar w:fldCharType="begin"/>
      </w:r>
      <w:r>
        <w:instrText xml:space="preserve">REF abs127 \h</w:instrText>
      </w:r>
      <w:r>
        <w:fldChar w:fldCharType="separate"/>
      </w:r>
      <w:r>
        <w:rPr>
          <w:color w:val="0000ff"/>
          <w:sz w:val="20"/>
          <w:szCs w:val="20"/>
        </w:rPr>
        <w:t>[9493]</w:t>
      </w:r>
      <w:r>
        <w:fldChar w:fldCharType="end"/>
      </w:r>
      <w:r>
        <w:t xml:space="preserve">, </w:t>
      </w:r>
      <w:r>
        <w:fldChar w:fldCharType="begin"/>
      </w:r>
      <w:r>
        <w:instrText xml:space="preserve">REF abs128 \h</w:instrText>
      </w:r>
      <w:r>
        <w:fldChar w:fldCharType="separate"/>
      </w:r>
      <w:r>
        <w:rPr>
          <w:color w:val="0000ff"/>
          <w:sz w:val="20"/>
          <w:szCs w:val="20"/>
        </w:rPr>
        <w:t>[9515]</w:t>
      </w:r>
      <w:r>
        <w:fldChar w:fldCharType="end"/>
      </w:r>
      <w:r>
        <w:t xml:space="preserve">, </w:t>
      </w:r>
      <w:r>
        <w:fldChar w:fldCharType="begin"/>
      </w:r>
      <w:r>
        <w:instrText xml:space="preserve">REF abs129 \h</w:instrText>
      </w:r>
      <w:r>
        <w:fldChar w:fldCharType="separate"/>
      </w:r>
      <w:r>
        <w:rPr>
          <w:color w:val="0000ff"/>
          <w:sz w:val="20"/>
          <w:szCs w:val="20"/>
        </w:rPr>
        <w:t>[9554]</w:t>
      </w:r>
      <w:r>
        <w:fldChar w:fldCharType="end"/>
      </w:r>
      <w:r>
        <w:t xml:space="preserve">, </w:t>
      </w:r>
      <w:r>
        <w:fldChar w:fldCharType="begin"/>
      </w:r>
      <w:r>
        <w:instrText xml:space="preserve">REF abs130 \h</w:instrText>
      </w:r>
      <w:r>
        <w:fldChar w:fldCharType="separate"/>
      </w:r>
      <w:r>
        <w:rPr>
          <w:color w:val="0000ff"/>
          <w:sz w:val="20"/>
          <w:szCs w:val="20"/>
        </w:rPr>
        <w:t>[9594]</w:t>
      </w:r>
      <w:r>
        <w:fldChar w:fldCharType="end"/>
      </w:r>
      <w:r>
        <w:t xml:space="preserve">, </w:t>
      </w:r>
      <w:r>
        <w:fldChar w:fldCharType="begin"/>
      </w:r>
      <w:r>
        <w:instrText xml:space="preserve">REF abs131 \h</w:instrText>
      </w:r>
      <w:r>
        <w:fldChar w:fldCharType="separate"/>
      </w:r>
      <w:r>
        <w:rPr>
          <w:color w:val="0000ff"/>
          <w:sz w:val="20"/>
          <w:szCs w:val="20"/>
        </w:rPr>
        <w:t>[9622]</w:t>
      </w:r>
      <w:r>
        <w:fldChar w:fldCharType="end"/>
      </w:r>
      <w:r>
        <w:t xml:space="preserve">, </w:t>
      </w:r>
      <w:r>
        <w:fldChar w:fldCharType="begin"/>
      </w:r>
      <w:r>
        <w:instrText xml:space="preserve">REF abs132 \h</w:instrText>
      </w:r>
      <w:r>
        <w:fldChar w:fldCharType="separate"/>
      </w:r>
      <w:r>
        <w:rPr>
          <w:color w:val="0000ff"/>
          <w:sz w:val="20"/>
          <w:szCs w:val="20"/>
        </w:rPr>
        <w:t>[9625]</w:t>
      </w:r>
      <w:r>
        <w:fldChar w:fldCharType="end"/>
      </w:r>
      <w:r>
        <w:t xml:space="preserve">, </w:t>
      </w:r>
      <w:r>
        <w:fldChar w:fldCharType="begin"/>
      </w:r>
      <w:r>
        <w:instrText xml:space="preserve">REF abs133 \h</w:instrText>
      </w:r>
      <w:r>
        <w:fldChar w:fldCharType="separate"/>
      </w:r>
      <w:r>
        <w:rPr>
          <w:color w:val="0000ff"/>
          <w:sz w:val="20"/>
          <w:szCs w:val="20"/>
        </w:rPr>
        <w:t>[9649]</w:t>
      </w:r>
      <w:r>
        <w:fldChar w:fldCharType="end"/>
      </w:r>
      <w:r>
        <w:t xml:space="preserve">, </w:t>
      </w:r>
      <w:r>
        <w:fldChar w:fldCharType="begin"/>
      </w:r>
      <w:r>
        <w:instrText xml:space="preserve">REF abs134 \h</w:instrText>
      </w:r>
      <w:r>
        <w:fldChar w:fldCharType="separate"/>
      </w:r>
      <w:r>
        <w:rPr>
          <w:color w:val="0000ff"/>
          <w:sz w:val="20"/>
          <w:szCs w:val="20"/>
        </w:rPr>
        <w:t>[9670]</w:t>
      </w:r>
      <w:r>
        <w:fldChar w:fldCharType="end"/>
      </w:r>
      <w:r>
        <w:t xml:space="preserve">, </w:t>
      </w:r>
      <w:r>
        <w:fldChar w:fldCharType="begin"/>
      </w:r>
      <w:r>
        <w:instrText xml:space="preserve">REF abs135 \h</w:instrText>
      </w:r>
      <w:r>
        <w:fldChar w:fldCharType="separate"/>
      </w:r>
      <w:r>
        <w:rPr>
          <w:color w:val="0000ff"/>
          <w:sz w:val="20"/>
          <w:szCs w:val="20"/>
        </w:rPr>
        <w:t>[9729]</w:t>
      </w:r>
      <w:r>
        <w:fldChar w:fldCharType="end"/>
      </w:r>
      <w:r>
        <w:t xml:space="preserve">, </w:t>
      </w:r>
      <w:r>
        <w:fldChar w:fldCharType="begin"/>
      </w:r>
      <w:r>
        <w:instrText xml:space="preserve">REF abs136 \h</w:instrText>
      </w:r>
      <w:r>
        <w:fldChar w:fldCharType="separate"/>
      </w:r>
      <w:r>
        <w:rPr>
          <w:color w:val="0000ff"/>
          <w:sz w:val="20"/>
          <w:szCs w:val="20"/>
        </w:rPr>
        <w:t>[9763]</w:t>
      </w:r>
      <w:r>
        <w:fldChar w:fldCharType="end"/>
      </w:r>
      <w:r>
        <w:t xml:space="preserve">, </w:t>
      </w:r>
      <w:r>
        <w:fldChar w:fldCharType="begin"/>
      </w:r>
      <w:r>
        <w:instrText xml:space="preserve">REF abs137 \h</w:instrText>
      </w:r>
      <w:r>
        <w:fldChar w:fldCharType="separate"/>
      </w:r>
      <w:r>
        <w:rPr>
          <w:color w:val="0000ff"/>
          <w:sz w:val="20"/>
          <w:szCs w:val="20"/>
        </w:rPr>
        <w:t>[9915]</w:t>
      </w:r>
      <w:r>
        <w:fldChar w:fldCharType="end"/>
      </w:r>
      <w:r>
        <w:t xml:space="preserve">, </w:t>
      </w:r>
      <w:r>
        <w:fldChar w:fldCharType="begin"/>
      </w:r>
      <w:r>
        <w:instrText xml:space="preserve">REF abs138 \h</w:instrText>
      </w:r>
      <w:r>
        <w:fldChar w:fldCharType="separate"/>
      </w:r>
      <w:r>
        <w:rPr>
          <w:color w:val="0000ff"/>
          <w:sz w:val="20"/>
          <w:szCs w:val="20"/>
        </w:rPr>
        <w:t>[9995]</w:t>
      </w:r>
      <w:r>
        <w:fldChar w:fldCharType="end"/>
      </w:r>
    </w:p>
    <w:p>
      <w:pPr>
        <w:pStyle w:val="SubStyle"/>
      </w:pPr>
      <w:bookmarkStart w:id="2" w:name="abs1"/>
      <w:r>
        <w:fldChar w:fldCharType="begin"/>
      </w:r>
      <w:r>
        <w:instrText xml:space="preserve">REF Index \h</w:instrText>
      </w:r>
      <w:r>
        <w:fldChar w:fldCharType="separate"/>
      </w:r>
      <w:r>
        <w:rPr>
          <w:color w:val="0000ff"/>
          <w:sz w:val="20"/>
          <w:szCs w:val="20"/>
        </w:rPr>
        <w:t>[0008]</w:t>
      </w:r>
      <w:r>
        <w:fldChar w:fldCharType="end"/>
      </w:r>
      <w:bookmarkEnd w:id="2"/>
      <w:r>
        <w:t xml:space="preserve"> </w:t>
      </w:r>
      <w:r>
        <w:rPr>
          <w:i/>
          <w:b/>
        </w:rPr>
        <w:t>High-resolution 3D surveying of ancient music objects for sound digitization within the MUSE project</w:t>
      </w:r>
    </w:p>
    <w:p>
      <w:pPr>
        <w:pStyle w:val="Authors"/>
      </w:pPr>
      <w:r>
        <w:t>Gabriele Bitelli</w:t>
      </w:r>
      <w:r>
        <w:t xml:space="preserve"> (</w:t>
      </w:r>
      <w:r>
        <w:rPr>
          <w:color w:val="636363"/>
          <w:sz w:val="20"/>
          <w:szCs w:val="20"/>
        </w:rPr>
        <w:t>Dept. of Civil, Chemical, Environmental and Materials Engineering (DICAM), University of Bologna, Italy</w:t>
      </w:r>
      <w:r>
        <w:t>)</w:t>
      </w:r>
      <w:r>
        <w:t xml:space="preserve">, </w:t>
      </w:r>
      <w:r>
        <w:t>Anna Forte</w:t>
      </w:r>
      <w:r>
        <w:t xml:space="preserve"> (</w:t>
      </w:r>
      <w:r>
        <w:rPr>
          <w:color w:val="636363"/>
          <w:sz w:val="20"/>
          <w:szCs w:val="20"/>
        </w:rPr>
        <w:t>Dept. of Civil, Chemical, Environmental and Materials Engineering (DICAM), University of Bologna, Italy</w:t>
      </w:r>
      <w:r>
        <w:t>)</w:t>
      </w:r>
      <w:r>
        <w:t xml:space="preserve">, </w:t>
      </w:r>
      <w:r>
        <w:t>Giovanna Casali</w:t>
      </w:r>
      <w:r>
        <w:t xml:space="preserve"> (</w:t>
      </w:r>
      <w:r>
        <w:rPr>
          <w:color w:val="636363"/>
          <w:sz w:val="20"/>
          <w:szCs w:val="20"/>
        </w:rPr>
        <w:t>Dept. of Cultural Heritage (DBC), University of Bologna, Italy</w:t>
      </w:r>
      <w:r>
        <w:t>)</w:t>
      </w:r>
      <w:r>
        <w:t xml:space="preserve">, </w:t>
      </w:r>
      <w:r>
        <w:t>Donatella Restani</w:t>
      </w:r>
      <w:r>
        <w:t xml:space="preserve"> (</w:t>
      </w:r>
      <w:r>
        <w:rPr>
          <w:color w:val="636363"/>
          <w:sz w:val="20"/>
          <w:szCs w:val="20"/>
        </w:rPr>
        <w:t>Dept. of Cultural Heritage (DBC), University of Bologna, Italy</w:t>
      </w:r>
      <w:r>
        <w:t>)</w:t>
      </w:r>
      <w:r>
        <w:t xml:space="preserve">. </w:t>
      </w:r>
    </w:p>
    <w:p>
      <w:pPr>
        <w:pStyle w:val="Text"/>
      </w:pPr>
      <w:r>
        <w:t>This paper presents a high-resolution 3D documentation workflow applied to a selection of ancient sound artefacts held at the National Archaeological Museum of Ferrara, Italy, within the PRIN “MUSE” project. Structured-light scanning and close-range digital photogrammetry were used to produce metrically reliable models of terracotta rattles, a feeding vessel with an internal sounding element, and a fragile conch. The resulting models, obtained with sub-millimetric resolution and accuracies up to about 
50 µm, support detailed morphological analysis, conservation documentation and future experiments for sound reactivation. The contribution shows how non-invasive geomatic methods can provide a robust knowledge base for the study, preservation and valorisation of sound heritage.</w:t>
      </w:r>
    </w:p>
    <w:p>
      <w:pPr>
        <w:pStyle w:val="SubStyleBorder"/>
      </w:pPr>
      <w:bookmarkStart w:id="3" w:name="abs2"/>
      <w:r>
        <w:fldChar w:fldCharType="begin"/>
      </w:r>
      <w:r>
        <w:instrText xml:space="preserve">REF Index \h</w:instrText>
      </w:r>
      <w:r>
        <w:fldChar w:fldCharType="separate"/>
      </w:r>
      <w:r>
        <w:rPr>
          <w:color w:val="0000ff"/>
          <w:sz w:val="20"/>
          <w:szCs w:val="20"/>
        </w:rPr>
        <w:t>[0174]</w:t>
      </w:r>
      <w:r>
        <w:fldChar w:fldCharType="end"/>
      </w:r>
      <w:bookmarkEnd w:id="3"/>
      <w:r>
        <w:t xml:space="preserve"> </w:t>
      </w:r>
      <w:r>
        <w:rPr>
          <w:i/>
          <w:b/>
        </w:rPr>
        <w:t>Surface and bulk effects on iron gall ink within parchment subjected to X-ray irradiation</w:t>
      </w:r>
    </w:p>
    <w:p>
      <w:pPr>
        <w:pStyle w:val="Authors"/>
      </w:pPr>
      <w:r>
        <w:t>Monia Vadrucci</w:t>
      </w:r>
      <w:r>
        <w:t xml:space="preserve"> (</w:t>
      </w:r>
      <w:r>
        <w:rPr>
          <w:color w:val="636363"/>
          <w:sz w:val="20"/>
          <w:szCs w:val="20"/>
        </w:rPr>
        <w:t>Italian Space Agency, ASI</w:t>
      </w:r>
      <w:r>
        <w:t>)</w:t>
      </w:r>
      <w:r>
        <w:t xml:space="preserve">, </w:t>
      </w:r>
      <w:r>
        <w:t>Claudia Mazzuca</w:t>
      </w:r>
      <w:r>
        <w:t xml:space="preserve"> (</w:t>
      </w:r>
      <w:r>
        <w:rPr>
          <w:color w:val="636363"/>
          <w:sz w:val="20"/>
          <w:szCs w:val="20"/>
        </w:rPr>
        <w:t>Department of Chemical Science and Technologies, University of Rome “Tor Vergata”, Rome, Italy,</w:t>
      </w:r>
      <w:r>
        <w:t>)</w:t>
      </w:r>
      <w:r>
        <w:t xml:space="preserve">, </w:t>
      </w:r>
      <w:r>
        <w:t>Chiaramaria Stani</w:t>
      </w:r>
      <w:r>
        <w:t xml:space="preserve"> (</w:t>
      </w:r>
      <w:r>
        <w:rPr>
          <w:color w:val="636363"/>
          <w:sz w:val="20"/>
          <w:szCs w:val="20"/>
        </w:rPr>
        <w:t>Elettra-Sincrotrone Trieste</w:t>
      </w:r>
      <w:r>
        <w:t>)</w:t>
      </w:r>
      <w:r>
        <w:t xml:space="preserve">, </w:t>
      </w:r>
      <w:r>
        <w:t>Francesco Maria Rizzo</w:t>
      </w:r>
      <w:r>
        <w:t xml:space="preserve"> (</w:t>
      </w:r>
      <w:r>
        <w:rPr>
          <w:color w:val="636363"/>
          <w:sz w:val="20"/>
          <w:szCs w:val="20"/>
        </w:rPr>
        <w:t>Ex Libris Restauro e Conservazione, Via XXX Gennaio 21, 91100 Trapani, Italy</w:t>
      </w:r>
      <w:r>
        <w:t>)</w:t>
      </w:r>
      <w:r>
        <w:t xml:space="preserve">, </w:t>
      </w:r>
      <w:r>
        <w:t>Cristina Cicero</w:t>
      </w:r>
      <w:r>
        <w:t xml:space="preserve"> (</w:t>
      </w:r>
      <w:r>
        <w:rPr>
          <w:color w:val="636363"/>
          <w:sz w:val="20"/>
          <w:szCs w:val="20"/>
        </w:rPr>
        <w:t>Department of Literary, Philosophical and Art History Studies, University of Rome “Tor Vergata”, Rome, Italy,</w:t>
      </w:r>
      <w:r>
        <w:t>)</w:t>
      </w:r>
      <w:r>
        <w:t xml:space="preserve">. </w:t>
      </w:r>
    </w:p>
    <w:p>
      <w:pPr>
        <w:pStyle w:val="Text"/>
      </w:pPr>
      <w:r>
        <w:t>Parchment was the most widespread writing medium employed in the Western world from Late Antiquity to the end of the Middle Ages. Being a collagen-based material, it represents the perfect substrate for biodeterioration. With the aim of contrasting this problem, a new disinfection method based on the use of X-ray irradiation has been proposed. The high energy X-ray beam produced by the Removable Electrons to X-rays (REX) source has proved, by a multi-technique approach, to be capable of inhibiting microbial growth on collagen based artifacts. Nevertheless, for an in depth characterization of these artifacts, it is necessary to investigate possible effects on substrates which are written/decorated with ink and pigments. In this work, a preliminary spectroscopic characterization of the effect of ageing and X-ray irradiation on inked parchment samples has been reported.</w:t>
      </w:r>
    </w:p>
    <w:p>
      <w:pPr>
        <w:pStyle w:val="SubStyleBorder"/>
      </w:pPr>
      <w:bookmarkStart w:id="4" w:name="abs3"/>
      <w:r>
        <w:fldChar w:fldCharType="begin"/>
      </w:r>
      <w:r>
        <w:instrText xml:space="preserve">REF Index \h</w:instrText>
      </w:r>
      <w:r>
        <w:fldChar w:fldCharType="separate"/>
      </w:r>
      <w:r>
        <w:rPr>
          <w:color w:val="0000ff"/>
          <w:sz w:val="20"/>
          <w:szCs w:val="20"/>
        </w:rPr>
        <w:t>[0263]</w:t>
      </w:r>
      <w:r>
        <w:fldChar w:fldCharType="end"/>
      </w:r>
      <w:bookmarkEnd w:id="4"/>
      <w:r>
        <w:t xml:space="preserve"> </w:t>
      </w:r>
      <w:r>
        <w:rPr>
          <w:i/>
          <w:b/>
        </w:rPr>
        <w:t>A TDR‑Based Diagnostic Approach for Moisture Mapping in Porous Cultural Heritage Materials</w:t>
      </w:r>
    </w:p>
    <w:p>
      <w:pPr>
        <w:pStyle w:val="Authors"/>
      </w:pPr>
      <w:r>
        <w:t>Giuseppe Cannazza</w:t>
      </w:r>
      <w:r>
        <w:t xml:space="preserve"> (</w:t>
      </w:r>
      <w:r>
        <w:rPr>
          <w:color w:val="636363"/>
          <w:sz w:val="20"/>
          <w:szCs w:val="20"/>
        </w:rPr>
        <w:t>cnr - ispc</w:t>
      </w:r>
      <w:r>
        <w:t>)</w:t>
      </w:r>
      <w:r>
        <w:t xml:space="preserve">, </w:t>
      </w:r>
      <w:r>
        <w:t>Lara De Giorgi</w:t>
      </w:r>
      <w:r>
        <w:t xml:space="preserve"> (</w:t>
      </w:r>
      <w:r>
        <w:rPr>
          <w:color w:val="636363"/>
          <w:sz w:val="20"/>
          <w:szCs w:val="20"/>
        </w:rPr>
        <w:t>cnr - ispc</w:t>
      </w:r>
      <w:r>
        <w:t>)</w:t>
      </w:r>
      <w:r>
        <w:t xml:space="preserve">, </w:t>
      </w:r>
      <w:r>
        <w:t>Dora Francesca Barbolla</w:t>
      </w:r>
      <w:r>
        <w:t xml:space="preserve"> (</w:t>
      </w:r>
      <w:r>
        <w:rPr>
          <w:color w:val="636363"/>
          <w:sz w:val="20"/>
          <w:szCs w:val="20"/>
        </w:rPr>
        <w:t>cnr - ispc</w:t>
      </w:r>
      <w:r>
        <w:t>)</w:t>
      </w:r>
      <w:r>
        <w:t xml:space="preserve">, </w:t>
      </w:r>
      <w:r>
        <w:t>Giovanni Leucci</w:t>
      </w:r>
      <w:r>
        <w:t xml:space="preserve"> (</w:t>
      </w:r>
      <w:r>
        <w:rPr>
          <w:color w:val="636363"/>
          <w:sz w:val="20"/>
          <w:szCs w:val="20"/>
        </w:rPr>
        <w:t>cnr - ispc</w:t>
      </w:r>
      <w:r>
        <w:t>)</w:t>
      </w:r>
      <w:r>
        <w:t xml:space="preserve">, </w:t>
      </w:r>
      <w:r>
        <w:t>Andrea Cataldo</w:t>
      </w:r>
      <w:r>
        <w:t xml:space="preserve"> (</w:t>
      </w:r>
      <w:r>
        <w:rPr>
          <w:color w:val="636363"/>
          <w:sz w:val="20"/>
          <w:szCs w:val="20"/>
        </w:rPr>
        <w:t>università del salento - dipartimento di ingegneria dell'innovazione</w:t>
      </w:r>
      <w:r>
        <w:t>)</w:t>
      </w:r>
      <w:r>
        <w:t xml:space="preserve">, </w:t>
      </w:r>
      <w:r>
        <w:t>Antonio Masciullo</w:t>
      </w:r>
      <w:r>
        <w:t xml:space="preserve"> (</w:t>
      </w:r>
      <w:r>
        <w:rPr>
          <w:color w:val="636363"/>
          <w:sz w:val="20"/>
          <w:szCs w:val="20"/>
        </w:rPr>
        <w:t>università del salento - dipartimento di ingegneria dell'innovazione</w:t>
      </w:r>
      <w:r>
        <w:t>)</w:t>
      </w:r>
      <w:r>
        <w:t xml:space="preserve">. </w:t>
      </w:r>
    </w:p>
    <w:p>
      <w:pPr>
        <w:pStyle w:val="Text"/>
      </w:pPr>
      <w:r>
        <w:t>Rising damp is a major degradation mechanism in porous stones used in cultural heritage, as it alters their physical, chemical, and mechanical properties, ultimately compromising long‑term stability. This work presents a non‑destructive diagnostic methodology based on Time‑Domain Reflectometry (TDR) for monitoring moisture dynamics in a Lecce stone artefact. An adhesive bifilar probe connected to a TDR100 reflectometer was employed to acquire reflectograms over a 60‑hour capillary rise experiment. The progressive increase in apparent distance correlates with the upward migration of the moisture front, as confirmed by parallel photographic documentation. Results demonstrate the capability of TDR to detect small permittivity variations, track moisture gradients, and characterize the kinetics of rising damp. The approach proves suitable for long‑term monitoring and preventive conservation of porous heritage materials.</w:t>
      </w:r>
    </w:p>
    <w:p>
      <w:pPr>
        <w:pStyle w:val="SubStyleBorder"/>
      </w:pPr>
      <w:bookmarkStart w:id="5" w:name="abs4"/>
      <w:r>
        <w:fldChar w:fldCharType="begin"/>
      </w:r>
      <w:r>
        <w:instrText xml:space="preserve">REF Index \h</w:instrText>
      </w:r>
      <w:r>
        <w:fldChar w:fldCharType="separate"/>
      </w:r>
      <w:r>
        <w:rPr>
          <w:color w:val="0000ff"/>
          <w:sz w:val="20"/>
          <w:szCs w:val="20"/>
        </w:rPr>
        <w:t>[0287]</w:t>
      </w:r>
      <w:r>
        <w:fldChar w:fldCharType="end"/>
      </w:r>
      <w:bookmarkEnd w:id="5"/>
      <w:r>
        <w:t xml:space="preserve"> </w:t>
      </w:r>
      <w:r>
        <w:rPr>
          <w:i/>
          <w:b/>
        </w:rPr>
        <w:t>Damage and Radon release. Design of an experimental set up for the Diagnosis and Monitoring of cultural heritage</w:t>
      </w:r>
    </w:p>
    <w:p>
      <w:pPr>
        <w:pStyle w:val="Authors"/>
      </w:pPr>
      <w:r>
        <w:t>Simona Mancini</w:t>
      </w:r>
      <w:r>
        <w:t xml:space="preserve"> (</w:t>
      </w:r>
      <w:r>
        <w:rPr>
          <w:color w:val="636363"/>
          <w:sz w:val="20"/>
          <w:szCs w:val="20"/>
        </w:rPr>
        <w:t>Faculty of Engineering, Institute of Civil Engineering, Riga Technical University</w:t>
      </w:r>
      <w:r>
        <w:t>)</w:t>
      </w:r>
      <w:r>
        <w:t xml:space="preserve">, </w:t>
      </w:r>
      <w:r>
        <w:t>Martins Vilnitis</w:t>
      </w:r>
      <w:r>
        <w:t xml:space="preserve"> (</w:t>
      </w:r>
      <w:r>
        <w:rPr>
          <w:color w:val="636363"/>
          <w:sz w:val="20"/>
          <w:szCs w:val="20"/>
        </w:rPr>
        <w:t>Faculty of Engineering, Institute of Civil Engineering, Riga Technical University</w:t>
      </w:r>
      <w:r>
        <w:t>)</w:t>
      </w:r>
      <w:r>
        <w:t xml:space="preserve">, </w:t>
      </w:r>
      <w:r>
        <w:t>Olga Dukic</w:t>
      </w:r>
      <w:r>
        <w:t xml:space="preserve"> (</w:t>
      </w:r>
      <w:r>
        <w:rPr>
          <w:color w:val="636363"/>
          <w:sz w:val="20"/>
          <w:szCs w:val="20"/>
        </w:rPr>
        <w:t>Faculty of Technical Sciences Čačak University of Kragujevac</w:t>
      </w:r>
      <w:r>
        <w:t>)</w:t>
      </w:r>
      <w:r>
        <w:t xml:space="preserve">, </w:t>
      </w:r>
      <w:r>
        <w:t>Danijela Milosevic</w:t>
      </w:r>
      <w:r>
        <w:t xml:space="preserve"> (</w:t>
      </w:r>
      <w:r>
        <w:rPr>
          <w:color w:val="636363"/>
          <w:sz w:val="20"/>
          <w:szCs w:val="20"/>
        </w:rPr>
        <w:t>Faculty of Technical Science, Cacak,University of Kragujevac, Serbia</w:t>
      </w:r>
      <w:r>
        <w:t>)</w:t>
      </w:r>
      <w:r>
        <w:t xml:space="preserve">, </w:t>
      </w:r>
      <w:r>
        <w:t>Juris Burlakovs</w:t>
      </w:r>
      <w:r>
        <w:t xml:space="preserve"> (</w:t>
      </w:r>
      <w:r>
        <w:rPr>
          <w:color w:val="636363"/>
          <w:sz w:val="20"/>
          <w:szCs w:val="20"/>
        </w:rPr>
        <w:t>Faculty of Engineering, Institute of Civil Engineering, Riga Technical University</w:t>
      </w:r>
      <w:r>
        <w:t>)</w:t>
      </w:r>
      <w:r>
        <w:t xml:space="preserve">, </w:t>
      </w:r>
      <w:r>
        <w:t>Natasa Todorovic</w:t>
      </w:r>
      <w:r>
        <w:t xml:space="preserve"> (</w:t>
      </w:r>
      <w:r>
        <w:rPr>
          <w:color w:val="636363"/>
          <w:sz w:val="20"/>
          <w:szCs w:val="20"/>
        </w:rPr>
        <w:t>University of Novi Sad</w:t>
      </w:r>
      <w:r>
        <w:t>)</w:t>
      </w:r>
      <w:r>
        <w:t xml:space="preserve">, </w:t>
      </w:r>
      <w:r>
        <w:t>Serpil Akozcan Pehlivanoglu</w:t>
      </w:r>
      <w:r>
        <w:t xml:space="preserve"> (</w:t>
      </w:r>
      <w:r>
        <w:rPr>
          <w:color w:val="636363"/>
          <w:sz w:val="20"/>
          <w:szCs w:val="20"/>
        </w:rPr>
        <w:t>Kirklareli University</w:t>
      </w:r>
      <w:r>
        <w:t>)</w:t>
      </w:r>
      <w:r>
        <w:t xml:space="preserve">, </w:t>
      </w:r>
      <w:r>
        <w:t>Michele Guida</w:t>
      </w:r>
      <w:r>
        <w:t xml:space="preserve"> (</w:t>
      </w:r>
      <w:r>
        <w:rPr>
          <w:color w:val="636363"/>
          <w:sz w:val="20"/>
          <w:szCs w:val="20"/>
        </w:rPr>
        <w:t>Dipartimento di Ingegneria dell'Informazione ed Elettrica e Matematica applicata, Università di Salerno</w:t>
      </w:r>
      <w:r>
        <w:t>)</w:t>
      </w:r>
      <w:r>
        <w:t xml:space="preserve">. </w:t>
      </w:r>
    </w:p>
    <w:p>
      <w:pPr>
        <w:pStyle w:val="Text"/>
      </w:pPr>
      <w:r>
        <w:t>This study evaluated the possibility of developing a new technique expected to provide an economical and intuitive method for damage and environmental safety assessment from a radiological point of view. Radon and thoron emissions under increasing deformation have been measured to determine how mechanical damage affects gas emissions from building materials. Two ad-hoc monitoring protocols and a cell for measuring radon release from building materials, under uniaxial compression, have been designed. After a series of tests on some concrete and tuff specimens, results show that:
1) As found in previous similar studies, emissions begin to increase at 46–57% of the stress level under uniaxial compressive strength.
2) The low compressive strength of the material and the presence of smaller grain sizes increase the fraction of radon and thoron emanation.
Results represent an important dataset for developing an innovative complementary monitoring technique for environmental safety and structural diagnosis, in particular in cultural heritage applications where the use of materials rich in content of natural radionuclides is abundant.</w:t>
      </w:r>
    </w:p>
    <w:p>
      <w:pPr>
        <w:pStyle w:val="SubStyleBorder"/>
      </w:pPr>
      <w:bookmarkStart w:id="6" w:name="abs5"/>
      <w:r>
        <w:fldChar w:fldCharType="begin"/>
      </w:r>
      <w:r>
        <w:instrText xml:space="preserve">REF Index \h</w:instrText>
      </w:r>
      <w:r>
        <w:fldChar w:fldCharType="separate"/>
      </w:r>
      <w:r>
        <w:rPr>
          <w:color w:val="0000ff"/>
          <w:sz w:val="20"/>
          <w:szCs w:val="20"/>
        </w:rPr>
        <w:t>[0335]</w:t>
      </w:r>
      <w:r>
        <w:fldChar w:fldCharType="end"/>
      </w:r>
      <w:bookmarkEnd w:id="6"/>
      <w:r>
        <w:t xml:space="preserve"> </w:t>
      </w:r>
      <w:r>
        <w:rPr>
          <w:i/>
          <w:b/>
        </w:rPr>
        <w:t>Improving the geometric accuracy of handheld laser scanners for the documentation of cultural heritage objects</w:t>
      </w:r>
    </w:p>
    <w:p>
      <w:pPr>
        <w:pStyle w:val="Authors"/>
      </w:pPr>
      <w:r>
        <w:t>Piotr Kędziorski</w:t>
      </w:r>
      <w:r>
        <w:t xml:space="preserve"> (</w:t>
      </w:r>
      <w:r>
        <w:rPr>
          <w:color w:val="636363"/>
          <w:sz w:val="20"/>
          <w:szCs w:val="20"/>
        </w:rPr>
        <w:t>Faculty of Civil Engineering, Environmental Engineering and Geodesy, Koszalin University of Technology</w:t>
      </w:r>
      <w:r>
        <w:t>)</w:t>
      </w:r>
      <w:r>
        <w:t xml:space="preserve">, </w:t>
      </w:r>
      <w:r>
        <w:t>Marcin Jagoda</w:t>
      </w:r>
      <w:r>
        <w:t xml:space="preserve"> (</w:t>
      </w:r>
      <w:r>
        <w:rPr>
          <w:color w:val="636363"/>
          <w:sz w:val="20"/>
          <w:szCs w:val="20"/>
        </w:rPr>
        <w:t>Faculty of Civil Engineering, Environmental Engineering and Geodesy, Koszalin University of Technology</w:t>
      </w:r>
      <w:r>
        <w:t>)</w:t>
      </w:r>
      <w:r>
        <w:t xml:space="preserve">. </w:t>
      </w:r>
    </w:p>
    <w:p>
      <w:pPr>
        <w:pStyle w:val="Text"/>
      </w:pPr>
      <w:r>
        <w:t>This study investigates a post-processing method for correcting geometric drift in point clouds acquired with a handheld laser scanner, aiming to improve the suitability of this technology for cultural heritage documentation. The proposed method uses Shepard-type inverse-distance weighted interpolation of displacement vectors determined at control points measured using blue-light marker scanning, terrestrial laser scanning, or an electronic total station. The method was evaluated on a test brick wall and an approximately 11 m long fragment of the fourteenth-century city walls in Koszalin, Poland. The influence of control-point spacing, the number of neighboring points, and the distance-weighting parameter was assessed through comparisons with independent TLS reference data. In the test measurements, the proportion of points with errors below 3 mm increased from 35.5% in the uncorrected dataset to approximately 83–88% after correction. For the historic wall, the best configurations achieved more than 92% of points within 3 mm of the TLS reference. The corrected point clouds also enabled the identification and measurement of material losses with results consistent with TLS. The study demonstrates that geometric drift correction can substantially extend the applicability of affordable handheld scanning for precise documentation and monitoring of elongated cultural heritage structures.</w:t>
      </w:r>
    </w:p>
    <w:p>
      <w:pPr>
        <w:pStyle w:val="SubStyleBorder"/>
      </w:pPr>
      <w:bookmarkStart w:id="7" w:name="abs6"/>
      <w:r>
        <w:fldChar w:fldCharType="begin"/>
      </w:r>
      <w:r>
        <w:instrText xml:space="preserve">REF Index \h</w:instrText>
      </w:r>
      <w:r>
        <w:fldChar w:fldCharType="separate"/>
      </w:r>
      <w:r>
        <w:rPr>
          <w:color w:val="0000ff"/>
          <w:sz w:val="20"/>
          <w:szCs w:val="20"/>
        </w:rPr>
        <w:t>[0345]</w:t>
      </w:r>
      <w:r>
        <w:fldChar w:fldCharType="end"/>
      </w:r>
      <w:bookmarkEnd w:id="7"/>
      <w:r>
        <w:t xml:space="preserve"> </w:t>
      </w:r>
      <w:r>
        <w:rPr>
          <w:i/>
          <w:b/>
        </w:rPr>
        <w:t>Metrological comparison of violin spectral fingerprints through controlled acoustic measurements</w:t>
      </w:r>
    </w:p>
    <w:p>
      <w:pPr>
        <w:pStyle w:val="Authors"/>
      </w:pPr>
      <w:r>
        <w:t>Marco Casazza</w:t>
      </w:r>
      <w:r>
        <w:t xml:space="preserve"> (</w:t>
      </w:r>
      <w:r>
        <w:rPr>
          <w:color w:val="636363"/>
          <w:sz w:val="20"/>
          <w:szCs w:val="20"/>
        </w:rPr>
        <w:t>Università degli Studi di Salerno</w:t>
      </w:r>
      <w:r>
        <w:t>)</w:t>
      </w:r>
      <w:r>
        <w:t xml:space="preserve">, </w:t>
      </w:r>
      <w:r>
        <w:t>Elide Nastri</w:t>
      </w:r>
      <w:r>
        <w:t xml:space="preserve"> (</w:t>
      </w:r>
      <w:r>
        <w:rPr>
          <w:color w:val="636363"/>
          <w:sz w:val="20"/>
          <w:szCs w:val="20"/>
        </w:rPr>
        <w:t>Università degli Studi di Salerno, Department of Civil Engineering</w:t>
      </w:r>
      <w:r>
        <w:t>)</w:t>
      </w:r>
      <w:r>
        <w:t xml:space="preserve">, </w:t>
      </w:r>
      <w:r>
        <w:t>Fabrizio Barone</w:t>
      </w:r>
      <w:r>
        <w:t xml:space="preserve"> (</w:t>
      </w:r>
      <w:r>
        <w:rPr>
          <w:color w:val="636363"/>
          <w:sz w:val="20"/>
          <w:szCs w:val="20"/>
        </w:rPr>
        <w:t>University of Salerno</w:t>
      </w:r>
      <w:r>
        <w:t>)</w:t>
      </w:r>
      <w:r>
        <w:t xml:space="preserve">. </w:t>
      </w:r>
    </w:p>
    <w:p>
      <w:pPr>
        <w:pStyle w:val="Text"/>
      </w:pPr>
      <w:r>
        <w:t>The objective characterization of violin timbre requires experimental procedures capable of separating instrument-specific acoustic features from variability introduced by measurement conditions. This study presents a physical-metrology approach for the quantitative comparison of the spectral fingerprints of two violins under controlled broadband excitation. The instruments were tested in a free-suspended configuration and excited at the bridge by an independently suspended electrodynamic shaker, while the radiated acoustic response was acquired with an individually calibrated measurement microphone under fixed source–receiver geometry. Five independent mounting cycles, each including five repeated measurements, were performed for each instrument. The analysis combined signature-mode parameters, Bridge Hill characteristics, spectral-energy distributions and global spectral-shape descriptors. The resulting fingerprints showed high repeatability within each violin and clear inter-instrument separation: mean RMS log-spectral distances were approximately 2.4 dB within each instrument and 5.8 dB between instruments, with no overlap between the two distributions. All independent mounting cycles were correctly assigned to the corresponding violin by both feature-based and direct spectral-distance classification. The proposed method provides a reproducible physical characterization of timbre-related differences without introducing a subjective quality score, and may support violin making, comparative instrument evaluation and the longitudinal documentation of musical instruments as cultural-heritage objects.</w:t>
      </w:r>
    </w:p>
    <w:p>
      <w:pPr>
        <w:pStyle w:val="SubStyleBorder"/>
      </w:pPr>
      <w:bookmarkStart w:id="8" w:name="abs7"/>
      <w:r>
        <w:fldChar w:fldCharType="begin"/>
      </w:r>
      <w:r>
        <w:instrText xml:space="preserve">REF Index \h</w:instrText>
      </w:r>
      <w:r>
        <w:fldChar w:fldCharType="separate"/>
      </w:r>
      <w:r>
        <w:rPr>
          <w:color w:val="0000ff"/>
          <w:sz w:val="20"/>
          <w:szCs w:val="20"/>
        </w:rPr>
        <w:t>[0374]</w:t>
      </w:r>
      <w:r>
        <w:fldChar w:fldCharType="end"/>
      </w:r>
      <w:bookmarkEnd w:id="8"/>
      <w:r>
        <w:t xml:space="preserve"> </w:t>
      </w:r>
      <w:r>
        <w:rPr>
          <w:i/>
          <w:b/>
        </w:rPr>
        <w:t>A Closed-Loop Control Framework for Visitor Engagement in Adaptive Museum Environments</w:t>
      </w:r>
    </w:p>
    <w:p>
      <w:pPr>
        <w:pStyle w:val="Authors"/>
      </w:pPr>
      <w:r>
        <w:t>Chiara Foglietta</w:t>
      </w:r>
      <w:r>
        <w:t xml:space="preserve"> (</w:t>
      </w:r>
      <w:r>
        <w:rPr>
          <w:color w:val="636363"/>
          <w:sz w:val="20"/>
          <w:szCs w:val="20"/>
        </w:rPr>
        <w:t>San Raffaele Roma Open University</w:t>
      </w:r>
      <w:r>
        <w:t>)</w:t>
      </w:r>
      <w:r>
        <w:t xml:space="preserve">, </w:t>
      </w:r>
      <w:r>
        <w:t>Valeria Bonagura</w:t>
      </w:r>
      <w:r>
        <w:t xml:space="preserve"> (</w:t>
      </w:r>
      <w:r>
        <w:rPr>
          <w:color w:val="636363"/>
          <w:sz w:val="20"/>
          <w:szCs w:val="20"/>
        </w:rPr>
        <w:t>University of Roma Tre</w:t>
      </w:r>
      <w:r>
        <w:t>)</w:t>
      </w:r>
      <w:r>
        <w:t xml:space="preserve">, </w:t>
      </w:r>
      <w:r>
        <w:t>Stefano Panzieri</w:t>
      </w:r>
      <w:r>
        <w:t xml:space="preserve"> (</w:t>
      </w:r>
      <w:r>
        <w:rPr>
          <w:color w:val="636363"/>
          <w:sz w:val="20"/>
          <w:szCs w:val="20"/>
        </w:rPr>
        <w:t>University of Roma Tre</w:t>
      </w:r>
      <w:r>
        <w:t>)</w:t>
      </w:r>
      <w:r>
        <w:t xml:space="preserve">. </w:t>
      </w:r>
    </w:p>
    <w:p>
      <w:pPr>
        <w:pStyle w:val="Text"/>
      </w:pPr>
      <w:r>
        <w:t>This paper proposes a closed-loop control framework for visitor engagement regulation in adaptive Virtual Reality (VR) Cultural Heritage environments. The visitor's engagement level is modeled as the output of a discrete-time linear plant driven by VR rendering parameters, and estimated from behavioral sensor signals, such as, gaze dwell time, head angular velocity, and locomotion speed, via a discrete-time Kalman filter. A component-wise Proportional-Integral controller drives the estimated engagement toward a desired reference, with closed-loop stability guaranteed analytically through the Jury criterion applied to scalar aggregate gains. Simulation results over a 120-step session confirm rapid convergence to the target engagement level and demonstrate that sensor noise covariance directly determines the closed-loop settling time, establishing a quantitative link between metrological sensor quality and the quality of the visitor experience.</w:t>
      </w:r>
    </w:p>
    <w:p>
      <w:pPr>
        <w:pStyle w:val="SubStyleBorder"/>
      </w:pPr>
      <w:bookmarkStart w:id="9" w:name="abs8"/>
      <w:r>
        <w:fldChar w:fldCharType="begin"/>
      </w:r>
      <w:r>
        <w:instrText xml:space="preserve">REF Index \h</w:instrText>
      </w:r>
      <w:r>
        <w:fldChar w:fldCharType="separate"/>
      </w:r>
      <w:r>
        <w:rPr>
          <w:color w:val="0000ff"/>
          <w:sz w:val="20"/>
          <w:szCs w:val="20"/>
        </w:rPr>
        <w:t>[0598]</w:t>
      </w:r>
      <w:r>
        <w:fldChar w:fldCharType="end"/>
      </w:r>
      <w:bookmarkEnd w:id="9"/>
      <w:r>
        <w:t xml:space="preserve"> </w:t>
      </w:r>
      <w:r>
        <w:rPr>
          <w:i/>
          <w:b/>
        </w:rPr>
        <w:t>Development and Testing of 3D-Printed Mouthpieces for Brass Instruments</w:t>
      </w:r>
    </w:p>
    <w:p>
      <w:pPr>
        <w:pStyle w:val="Authors"/>
      </w:pPr>
      <w:r>
        <w:t>Nicola Contuzzi</w:t>
      </w:r>
      <w:r>
        <w:t xml:space="preserve"> (</w:t>
      </w:r>
      <w:r>
        <w:rPr>
          <w:color w:val="636363"/>
          <w:sz w:val="20"/>
          <w:szCs w:val="20"/>
        </w:rPr>
        <w:t>Politecnico di Bari</w:t>
      </w:r>
      <w:r>
        <w:t>)</w:t>
      </w:r>
      <w:r>
        <w:t xml:space="preserve">. </w:t>
      </w:r>
    </w:p>
    <w:p>
      <w:pPr>
        <w:pStyle w:val="Text"/>
      </w:pPr>
      <w:r>
        <w:t>This study presents the CAD-based reproduction and 3D printing of brass instrument mouthpieces as a workflow for linking geometric reconstruction, material selection and acoustic validation. A standard mouthpiece geometry was reproduced in CAD and manufactured using Ultracure RG35 (BASF), a biocompatible resin suitable for UV-curing processes. Acoustic measurements were performed on one mouthpiece shape in both metal and resin, with three repeated tests for each material. The resulting curves were compared to evaluate the repeatability of the measurement procedure and the acoustic correspondence between the printed prototype and the metal reference. The results show that additive manufacturing can support the reproduction and reactivation of sound-related artefacts, providing a measurable connection between shape, material and sound response.</w:t>
      </w:r>
    </w:p>
    <w:p>
      <w:pPr>
        <w:pStyle w:val="SubStyleBorder"/>
      </w:pPr>
      <w:bookmarkStart w:id="10" w:name="abs9"/>
      <w:r>
        <w:fldChar w:fldCharType="begin"/>
      </w:r>
      <w:r>
        <w:instrText xml:space="preserve">REF Index \h</w:instrText>
      </w:r>
      <w:r>
        <w:fldChar w:fldCharType="separate"/>
      </w:r>
      <w:r>
        <w:rPr>
          <w:color w:val="0000ff"/>
          <w:sz w:val="20"/>
          <w:szCs w:val="20"/>
        </w:rPr>
        <w:t>[0604]</w:t>
      </w:r>
      <w:r>
        <w:fldChar w:fldCharType="end"/>
      </w:r>
      <w:bookmarkEnd w:id="10"/>
      <w:r>
        <w:t xml:space="preserve"> </w:t>
      </w:r>
      <w:r>
        <w:rPr>
          <w:i/>
          <w:b/>
        </w:rPr>
        <w:t>Transport Amphorae from Pyrgi:Archaeological Contexts and Organic Residue Analysis</w:t>
      </w:r>
    </w:p>
    <w:p>
      <w:pPr>
        <w:pStyle w:val="Authors"/>
      </w:pPr>
      <w:r>
        <w:t>Andrea Carpentieri</w:t>
      </w:r>
      <w:r>
        <w:t xml:space="preserve"> (</w:t>
      </w:r>
      <w:r>
        <w:rPr>
          <w:color w:val="636363"/>
          <w:sz w:val="20"/>
          <w:szCs w:val="20"/>
        </w:rPr>
        <w:t>Department of Chemical Sciences, University of Naples Federico II</w:t>
      </w:r>
      <w:r>
        <w:t>)</w:t>
      </w:r>
      <w:r>
        <w:t xml:space="preserve">, </w:t>
      </w:r>
      <w:r>
        <w:t>Marco Morelli</w:t>
      </w:r>
      <w:r>
        <w:t xml:space="preserve"> (</w:t>
      </w:r>
      <w:r>
        <w:rPr>
          <w:color w:val="636363"/>
          <w:sz w:val="20"/>
          <w:szCs w:val="20"/>
        </w:rPr>
        <w:t>Department of Chemical Sciences, University of Naples Federico II</w:t>
      </w:r>
      <w:r>
        <w:t>)</w:t>
      </w:r>
      <w:r>
        <w:t xml:space="preserve">, </w:t>
      </w:r>
      <w:r>
        <w:t>Gaia Silvestre</w:t>
      </w:r>
      <w:r>
        <w:t xml:space="preserve"> (</w:t>
      </w:r>
      <w:r>
        <w:rPr>
          <w:color w:val="636363"/>
          <w:sz w:val="20"/>
          <w:szCs w:val="20"/>
        </w:rPr>
        <w:t>Department of Chemical Sciences, University of Naples Federico II</w:t>
      </w:r>
      <w:r>
        <w:t>)</w:t>
      </w:r>
      <w:r>
        <w:t xml:space="preserve">, </w:t>
      </w:r>
      <w:r>
        <w:t>Manuela Bonadies</w:t>
      </w:r>
      <w:r>
        <w:t xml:space="preserve"> (</w:t>
      </w:r>
      <w:r>
        <w:rPr>
          <w:color w:val="636363"/>
          <w:sz w:val="20"/>
          <w:szCs w:val="20"/>
        </w:rPr>
        <w:t>Department of Classics, Sapienza University of Rome</w:t>
      </w:r>
      <w:r>
        <w:t>)</w:t>
      </w:r>
      <w:r>
        <w:t xml:space="preserve">. </w:t>
      </w:r>
    </w:p>
    <w:p>
      <w:pPr>
        <w:pStyle w:val="Text"/>
      </w:pPr>
      <w:r>
        <w:t>This paper presents a multidisciplinary study of transport amphorae recovered from the Etruscan port of Pyrgi, the main harbour of the Etruscan city of Caere (Cerveteri, RM), as well as an important maritime sanctuary and one of the most significant trading hubs in the Tyrrhenian Sea. The corspus, dated between the Archaic period and the 3rd century BC, includes containers from several regions of the Mediterranean, providing valuable evidence for long-distance exchange networks and the circulation of commodities. Archaeological analysis focuses on typology, provenance, chronology, and depositional contexts. Furthermore, some samples were selected for the identification of organic residues analyses (O.R.A.) by samples extraction and GC-MS to eventually identify suitable contents.
Particular attention is given to amphora reuse. Since the materials come from terrestrial contexts, including ritual and votive deposits, the residues may reflect not only the original contents but also secondary uses, such as their deposition as votive offerings or reuse as containers for other substances. The integration of archaeological and biomolecular data aims to provide a more nuanced understanding of trade, consumption, and depositional practices at Pyrgi.</w:t>
      </w:r>
    </w:p>
    <w:p>
      <w:pPr>
        <w:pStyle w:val="SubStyleBorder"/>
      </w:pPr>
      <w:bookmarkStart w:id="11" w:name="abs10"/>
      <w:r>
        <w:fldChar w:fldCharType="begin"/>
      </w:r>
      <w:r>
        <w:instrText xml:space="preserve">REF Index \h</w:instrText>
      </w:r>
      <w:r>
        <w:fldChar w:fldCharType="separate"/>
      </w:r>
      <w:r>
        <w:rPr>
          <w:color w:val="0000ff"/>
          <w:sz w:val="20"/>
          <w:szCs w:val="20"/>
        </w:rPr>
        <w:t>[0715]</w:t>
      </w:r>
      <w:r>
        <w:fldChar w:fldCharType="end"/>
      </w:r>
      <w:bookmarkEnd w:id="11"/>
      <w:r>
        <w:t xml:space="preserve"> </w:t>
      </w:r>
      <w:r>
        <w:rPr>
          <w:i/>
          <w:b/>
        </w:rPr>
        <w:t>GPR investigations at the Crypt of St. Sebastian in Sternatia (Lecce – Southern Italy).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In this paper, GPR data gathered by the non-destructive investigation campaign, performed by means of geophysical surveys carried out on the vault and the inner pillar of the Crypt of San Sebastiano are shown. The study is part of a wide preliminary diagnostic campaign aimed at the restoration of the monument, which included a thermographic relief on the painted walls and on the vault, a monitoring of climatic parameters such as temperature and relative humidity of the air and of the wall surfaces. In addition, in order to identify the materials constituting the wall paintings and their alteration products, a complex microdestructive diagnostic plane were also performed on micro samples taken from . The gathered GPR data allowed us to identify the anomalies of the calcarenitic mass in order to highlight structural problems that could affect the stability of the monument. To this regard, a different behavior, in terms of homogeneity, alteration and microfracturing of rocky mass has been highlighted for the voult and the pillar of the crypt.</w:t>
      </w:r>
    </w:p>
    <w:p>
      <w:pPr>
        <w:pStyle w:val="SubStyleBorder"/>
      </w:pPr>
      <w:bookmarkStart w:id="12" w:name="abs11"/>
      <w:r>
        <w:fldChar w:fldCharType="begin"/>
      </w:r>
      <w:r>
        <w:instrText xml:space="preserve">REF Index \h</w:instrText>
      </w:r>
      <w:r>
        <w:fldChar w:fldCharType="separate"/>
      </w:r>
      <w:r>
        <w:rPr>
          <w:color w:val="0000ff"/>
          <w:sz w:val="20"/>
          <w:szCs w:val="20"/>
        </w:rPr>
        <w:t>[0751]</w:t>
      </w:r>
      <w:r>
        <w:fldChar w:fldCharType="end"/>
      </w:r>
      <w:bookmarkEnd w:id="12"/>
      <w:r>
        <w:t xml:space="preserve"> </w:t>
      </w:r>
      <w:r>
        <w:rPr>
          <w:i/>
          <w:b/>
        </w:rPr>
        <w:t>The Use of Generative AI in the Philological Reconstruction of Historical Architectural Gaps</w:t>
      </w:r>
    </w:p>
    <w:p>
      <w:pPr>
        <w:pStyle w:val="Authors"/>
      </w:pPr>
      <w:r>
        <w:t>Laura Maiuri</w:t>
      </w:r>
      <w:r>
        <w:t xml:space="preserve"> (</w:t>
      </w:r>
      <w:r>
        <w:rPr>
          <w:color w:val="636363"/>
          <w:sz w:val="20"/>
          <w:szCs w:val="20"/>
        </w:rPr>
        <w:t>Department of Engineering, Telematic University Pegaso, Piazza Trieste e Trento 48, 80132 Naples, Italy</w:t>
      </w:r>
      <w:r>
        <w:t>)</w:t>
      </w:r>
      <w:r>
        <w:t xml:space="preserve">, </w:t>
      </w:r>
      <w:r>
        <w:t>Marco Lombardi</w:t>
      </w:r>
      <w:r>
        <w:t xml:space="preserve"> (</w:t>
      </w:r>
      <w:r>
        <w:rPr>
          <w:color w:val="636363"/>
          <w:sz w:val="20"/>
          <w:szCs w:val="20"/>
        </w:rPr>
        <w:t>Department of Industrial Engineering, University of Salerno, Via Giovanni Paolo II 132, 84084 Fisciano</w:t>
      </w:r>
      <w:r>
        <w:t>)</w:t>
      </w:r>
      <w:r>
        <w:t xml:space="preserve">, </w:t>
      </w:r>
      <w:r>
        <w:t>Carmine Valentino</w:t>
      </w:r>
      <w:r>
        <w:t xml:space="preserve"> (</w:t>
      </w:r>
      <w:r>
        <w:rPr>
          <w:color w:val="636363"/>
          <w:sz w:val="20"/>
          <w:szCs w:val="20"/>
        </w:rPr>
        <w:t>Department of Industrial Engineering, University of Salerno, Via Giovanni Paolo II 132, 84084 Fisciano</w:t>
      </w:r>
      <w:r>
        <w:t>)</w:t>
      </w:r>
      <w:r>
        <w:t xml:space="preserve">, </w:t>
      </w:r>
      <w:r>
        <w:t>Pietro Giuseppe Strollo</w:t>
      </w:r>
      <w:r>
        <w:t xml:space="preserve"> (</w:t>
      </w:r>
      <w:r>
        <w:rPr>
          <w:color w:val="636363"/>
          <w:sz w:val="20"/>
          <w:szCs w:val="20"/>
        </w:rPr>
        <w:t>Department of Industrial Engineering, University of Salerno, Via Giovanni Paolo II 132, 84084 Fisciano</w:t>
      </w:r>
      <w:r>
        <w:t>)</w:t>
      </w:r>
      <w:r>
        <w:t xml:space="preserve">, </w:t>
      </w:r>
      <w:r>
        <w:t>Marco Limongiello</w:t>
      </w:r>
      <w:r>
        <w:t xml:space="preserve"> (</w:t>
      </w:r>
      <w:r>
        <w:rPr>
          <w:color w:val="636363"/>
          <w:sz w:val="20"/>
          <w:szCs w:val="20"/>
        </w:rPr>
        <w:t>Department of Engineering, Telematic University Pegaso, Piazza Trieste e Trento 48, 80132 Naples, Italy</w:t>
      </w:r>
      <w:r>
        <w:t>)</w:t>
      </w:r>
      <w:r>
        <w:t xml:space="preserve">, </w:t>
      </w:r>
      <w:r>
        <w:t>Gianluca Ronga</w:t>
      </w:r>
      <w:r>
        <w:t xml:space="preserve"> (</w:t>
      </w:r>
      <w:r>
        <w:rPr>
          <w:color w:val="636363"/>
          <w:sz w:val="20"/>
          <w:szCs w:val="20"/>
        </w:rPr>
        <w:t>Salvatore Ronga Srl, 84125 Salerno</w:t>
      </w:r>
      <w:r>
        <w:t>)</w:t>
      </w:r>
      <w:r>
        <w:t xml:space="preserve">. </w:t>
      </w:r>
    </w:p>
    <w:p>
      <w:pPr>
        <w:pStyle w:val="Text"/>
      </w:pPr>
      <w:r>
        <w:t>This paper aims to investigate and compare, based on the survey and three-dimensional reconstruction of the Church of Santa Maria Solditta in Buccino (Salerno), the simulations provided by generative AI applied to the reconstruction of the church’s roof, which is currently missing following the collapse caused by the 1980 Irpinia earthquake. The analysis is carried out using the same initial data (drone imagery, 3D models, vector design drawings). The respective results were analysed from a qualitative perspective and compared in a summary table which highlights, through SWOT analysis, strengths and weaknesses, in order to assess which simulation best aligns with the reconstruction hypotheses of the period. The proposals provided by the artificial intelligence systems used are not to be regarded as final results intended to replace human decisions, but as useful tools for pre-visualisation and support for the planned conservation and structural restoration works.</w:t>
      </w:r>
    </w:p>
    <w:p>
      <w:pPr>
        <w:pStyle w:val="SubStyleBorder"/>
      </w:pPr>
      <w:bookmarkStart w:id="13" w:name="abs12"/>
      <w:r>
        <w:fldChar w:fldCharType="begin"/>
      </w:r>
      <w:r>
        <w:instrText xml:space="preserve">REF Index \h</w:instrText>
      </w:r>
      <w:r>
        <w:fldChar w:fldCharType="separate"/>
      </w:r>
      <w:r>
        <w:rPr>
          <w:color w:val="0000ff"/>
          <w:sz w:val="20"/>
          <w:szCs w:val="20"/>
        </w:rPr>
        <w:t>[0772]</w:t>
      </w:r>
      <w:r>
        <w:fldChar w:fldCharType="end"/>
      </w:r>
      <w:bookmarkEnd w:id="13"/>
      <w:r>
        <w:t xml:space="preserve"> </w:t>
      </w:r>
      <w:r>
        <w:rPr>
          <w:i/>
          <w:b/>
        </w:rPr>
        <w:t>Metrological compatibility as a tool for the analysis of ancient itinerary units</w:t>
      </w:r>
    </w:p>
    <w:p>
      <w:pPr>
        <w:pStyle w:val="Authors"/>
      </w:pPr>
      <w:r>
        <w:t>Claudio Narduzzi</w:t>
      </w:r>
      <w:r>
        <w:t xml:space="preserve"> (</w:t>
      </w:r>
      <w:r>
        <w:rPr>
          <w:color w:val="636363"/>
          <w:sz w:val="20"/>
          <w:szCs w:val="20"/>
        </w:rPr>
        <w:t>University of Padua</w:t>
      </w:r>
      <w:r>
        <w:t>)</w:t>
      </w:r>
      <w:r>
        <w:t xml:space="preserve">. </w:t>
      </w:r>
    </w:p>
    <w:p>
      <w:pPr>
        <w:pStyle w:val="Text"/>
      </w:pPr>
      <w:r>
        <w:t>Analysis of ancient geographic data may evidence discrepancies and distortions that are usually attributed to simplified and/or incorrect representations created in ancient times. However, another possible cause of misinterpretation is the practice of naming different measurement units by analogy, with little regard for their actual values. This evidences the need for comparative analysis of itinerary units, for which the concept of metrological compatibility provides a sound rationale and an objective criterion. This paper presents the compatibility approach and discusses how the application of general principles of measurement science can help achieve realistic and useful evaluation of uncertainty for ancient itinerary measures, an essential premise for applicability that also reflects the present limits of knowledge. After a presentation of the approach in general terms, discussion is focussed on examples taken from classic Greek and Latin sources.</w:t>
      </w:r>
    </w:p>
    <w:p>
      <w:pPr>
        <w:pStyle w:val="SubStyleBorder"/>
      </w:pPr>
      <w:bookmarkStart w:id="14" w:name="abs13"/>
      <w:r>
        <w:fldChar w:fldCharType="begin"/>
      </w:r>
      <w:r>
        <w:instrText xml:space="preserve">REF Index \h</w:instrText>
      </w:r>
      <w:r>
        <w:fldChar w:fldCharType="separate"/>
      </w:r>
      <w:r>
        <w:rPr>
          <w:color w:val="0000ff"/>
          <w:sz w:val="20"/>
          <w:szCs w:val="20"/>
        </w:rPr>
        <w:t>[0786]</w:t>
      </w:r>
      <w:r>
        <w:fldChar w:fldCharType="end"/>
      </w:r>
      <w:bookmarkEnd w:id="14"/>
      <w:r>
        <w:t xml:space="preserve"> </w:t>
      </w:r>
      <w:r>
        <w:rPr>
          <w:i/>
          <w:b/>
        </w:rPr>
        <w:t>Assessment of Radon exhalation from accelerated aged Ignimbrite campana stone treated with various consolidating and hydrophobic products</w:t>
      </w:r>
    </w:p>
    <w:p>
      <w:pPr>
        <w:pStyle w:val="Authors"/>
      </w:pPr>
      <w:r>
        <w:t>Lorenzo Pistorino</w:t>
      </w:r>
      <w:r>
        <w:t xml:space="preserve"> (</w:t>
      </w:r>
      <w:r>
        <w:rPr>
          <w:color w:val="636363"/>
          <w:sz w:val="20"/>
          <w:szCs w:val="20"/>
        </w:rPr>
        <w:t>Dip.to di Scienze Matematiche e Informatiche, Scienze Fisiche e Scienze della Terra, Università degli Studi di Messina</w:t>
      </w:r>
      <w:r>
        <w:t>)</w:t>
      </w:r>
      <w:r>
        <w:t xml:space="preserve">, </w:t>
      </w:r>
      <w:r>
        <w:t>Francesco Caridi</w:t>
      </w:r>
      <w:r>
        <w:t xml:space="preserve"> (</w:t>
      </w:r>
      <w:r>
        <w:rPr>
          <w:color w:val="636363"/>
          <w:sz w:val="20"/>
          <w:szCs w:val="20"/>
        </w:rPr>
        <w:t>University of Messina</w:t>
      </w:r>
      <w:r>
        <w:t>)</w:t>
      </w:r>
      <w:r>
        <w:t xml:space="preserve">, </w:t>
      </w:r>
      <w:r>
        <w:t>Giuseppe Paladini</w:t>
      </w:r>
      <w:r>
        <w:t xml:space="preserve"> (</w:t>
      </w:r>
      <w:r>
        <w:rPr>
          <w:color w:val="636363"/>
          <w:sz w:val="20"/>
          <w:szCs w:val="20"/>
        </w:rPr>
        <w:t>Dip.to di Scienze Matematiche e Informatiche, Scienze Fisiche e Scienze della Terra, Università degli Studi di Messina</w:t>
      </w:r>
      <w:r>
        <w:t>)</w:t>
      </w:r>
      <w:r>
        <w:t xml:space="preserve">, </w:t>
      </w:r>
      <w:r>
        <w:t>Michele Guida</w:t>
      </w:r>
      <w:r>
        <w:t xml:space="preserve"> (</w:t>
      </w:r>
      <w:r>
        <w:rPr>
          <w:color w:val="636363"/>
          <w:sz w:val="20"/>
          <w:szCs w:val="20"/>
        </w:rPr>
        <w:t>Dipartimento di Ingegneria dell'Informazione ed Elettrica e Matematica applicata, Università di Salerno</w:t>
      </w:r>
      <w:r>
        <w:t>)</w:t>
      </w:r>
      <w:r>
        <w:t xml:space="preserve">, </w:t>
      </w:r>
      <w:r>
        <w:t>Simona Mancini</w:t>
      </w:r>
      <w:r>
        <w:t xml:space="preserve"> (</w:t>
      </w:r>
      <w:r>
        <w:rPr>
          <w:color w:val="636363"/>
          <w:sz w:val="20"/>
          <w:szCs w:val="20"/>
        </w:rPr>
        <w:t>Dipartimento di Ingegneria dell'Informazione ed Elettrica e Matematica applicata, Università di Salerno</w:t>
      </w:r>
      <w:r>
        <w:t>)</w:t>
      </w:r>
      <w:r>
        <w:t xml:space="preserve">, </w:t>
      </w:r>
      <w:r>
        <w:t>Domenico Majolino</w:t>
      </w:r>
      <w:r>
        <w:t xml:space="preserve"> (</w:t>
      </w:r>
      <w:r>
        <w:rPr>
          <w:color w:val="636363"/>
          <w:sz w:val="20"/>
          <w:szCs w:val="20"/>
        </w:rPr>
        <w:t>Dip.to di Scienze Matematiche e Informatiche, Scienze Fisiche e Scienze della Terra, Università degli Studi di Messina</w:t>
      </w:r>
      <w:r>
        <w:t>)</w:t>
      </w:r>
      <w:r>
        <w:t xml:space="preserve">, </w:t>
      </w:r>
      <w:r>
        <w:t>Valentina Venuti</w:t>
      </w:r>
      <w:r>
        <w:t xml:space="preserve"> (</w:t>
      </w:r>
      <w:r>
        <w:rPr>
          <w:color w:val="636363"/>
          <w:sz w:val="20"/>
          <w:szCs w:val="20"/>
        </w:rPr>
        <w:t>Dip.to di Scienze Matematiche e Informatiche, Scienze Fisiche e Scienze della Terra, Università degli Studi di Messina</w:t>
      </w:r>
      <w:r>
        <w:t>)</w:t>
      </w:r>
      <w:r>
        <w:t xml:space="preserve">. </w:t>
      </w:r>
    </w:p>
    <w:p>
      <w:pPr>
        <w:pStyle w:val="Text"/>
      </w:pPr>
      <w:r>
        <w:t>This study presents the results of a systematic assessment of the radon exhalation rate of Ignimbrite campana, a volcanic natural stone widely employed in the archaeological and historical built heritage of the Campania region (southern Italy). The stone was investigated in its accelerated aged induced through a salt crystallisation test and after the application of selected consolidating and hydrophobic products commonly adopted in heritage conservation. 
Radon exhalation from Ignimbrite campana stone was assessed using the Closed Chamber Method (CCM) coupled with a Durridge RAD7 apparatus. The Markkanen room model was subsequently applied to estimate potential indoor radon concentrations based on the measured exhalation rates.
The results provide new insights into the combined effects of ageing and conservation treatments on radon release from culturally significant building materials, contributing to improve radiological hazard assessment in architectural heritage conservation.</w:t>
      </w:r>
    </w:p>
    <w:p>
      <w:pPr>
        <w:pStyle w:val="SubStyleBorder"/>
      </w:pPr>
      <w:bookmarkStart w:id="15" w:name="abs14"/>
      <w:r>
        <w:fldChar w:fldCharType="begin"/>
      </w:r>
      <w:r>
        <w:instrText xml:space="preserve">REF Index \h</w:instrText>
      </w:r>
      <w:r>
        <w:fldChar w:fldCharType="separate"/>
      </w:r>
      <w:r>
        <w:rPr>
          <w:color w:val="0000ff"/>
          <w:sz w:val="20"/>
          <w:szCs w:val="20"/>
        </w:rPr>
        <w:t>[0884]</w:t>
      </w:r>
      <w:r>
        <w:fldChar w:fldCharType="end"/>
      </w:r>
      <w:bookmarkEnd w:id="15"/>
      <w:r>
        <w:t xml:space="preserve"> </w:t>
      </w:r>
      <w:r>
        <w:rPr>
          <w:i/>
          <w:b/>
        </w:rPr>
        <w:t>Tracking walls failures of the Uggiano castle: a decade scarp retreat and new collapses</w:t>
      </w:r>
    </w:p>
    <w:p>
      <w:pPr>
        <w:pStyle w:val="Authors"/>
      </w:pPr>
      <w:r>
        <w:t>Antonio Minervino Amodio</w:t>
      </w:r>
      <w:r>
        <w:t xml:space="preserve"> (</w:t>
      </w:r>
      <w:r>
        <w:rPr>
          <w:color w:val="636363"/>
          <w:sz w:val="20"/>
          <w:szCs w:val="20"/>
        </w:rPr>
        <w:t>National Research Council - Istitute of Heritage Science (CNR - ISPC)</w:t>
      </w:r>
      <w:r>
        <w:t>)</w:t>
      </w:r>
      <w:r>
        <w:t xml:space="preserve">, </w:t>
      </w:r>
      <w:r>
        <w:t>Alessia Frisetti</w:t>
      </w:r>
      <w:r>
        <w:t xml:space="preserve"> (</w:t>
      </w:r>
      <w:r>
        <w:rPr>
          <w:color w:val="636363"/>
          <w:sz w:val="20"/>
          <w:szCs w:val="20"/>
        </w:rPr>
        <w:t>University of Naples Suor Orsola Benincas</w:t>
      </w:r>
      <w:r>
        <w:t>)</w:t>
      </w:r>
      <w:r>
        <w:t xml:space="preserve">, </w:t>
      </w:r>
      <w:r>
        <w:t>Giuseppe Corrado</w:t>
      </w:r>
      <w:r>
        <w:t xml:space="preserve"> (</w:t>
      </w:r>
      <w:r>
        <w:rPr>
          <w:color w:val="636363"/>
          <w:sz w:val="20"/>
          <w:szCs w:val="20"/>
        </w:rPr>
        <w:t>University Parthenope</w:t>
      </w:r>
      <w:r>
        <w:t>)</w:t>
      </w:r>
      <w:r>
        <w:t xml:space="preserve">, </w:t>
      </w:r>
      <w:r>
        <w:t>Nicodemo Abate</w:t>
      </w:r>
      <w:r>
        <w:t xml:space="preserve"> (</w:t>
      </w:r>
      <w:r>
        <w:rPr>
          <w:color w:val="636363"/>
          <w:sz w:val="20"/>
          <w:szCs w:val="20"/>
        </w:rPr>
        <w:t>National Research Council - Istitute of Heritage Science (CNR - ISPC)</w:t>
      </w:r>
      <w:r>
        <w:t>)</w:t>
      </w:r>
      <w:r>
        <w:t xml:space="preserve">, </w:t>
      </w:r>
      <w:r>
        <w:t>Dario Gioia</w:t>
      </w:r>
      <w:r>
        <w:t xml:space="preserve"> (</w:t>
      </w:r>
      <w:r>
        <w:rPr>
          <w:color w:val="636363"/>
          <w:sz w:val="20"/>
          <w:szCs w:val="20"/>
        </w:rPr>
        <w:t>National Research Council - Istitute of Heritage Science (CNR - ISPC)</w:t>
      </w:r>
      <w:r>
        <w:t>)</w:t>
      </w:r>
      <w:r>
        <w:t xml:space="preserve">. </w:t>
      </w:r>
    </w:p>
    <w:p>
      <w:pPr>
        <w:pStyle w:val="Text"/>
      </w:pPr>
      <w:r>
        <w:t>Over the past decade, Unmanned Aerial System (UAS) have become an established tool for monitoring cultural heritage exposed to geomorphological hazards. This paper presents a comparative UAV-based analysis of the Uggiano castle, a highly degraded medieval site in Basilicata (southern Italy). Building upon a 2013 baseline survey, a new UAV flight was performed in 2022. Direct comparison of high-resolution orthophotos and 3D models revealed a new wall collapse and two areas of scarp retreat driven by piping and differential erosion. This comparative approach effectively identifies the most vulnerable sectors of the ruins, shedding light on progressive degradation caused by moisture, differential settlement, and basal erosion. These results provide critical tools to guide low-impact mitigation and engineering consolidation efforts necessary to safeguard the remaining permanent ruins.</w:t>
      </w:r>
    </w:p>
    <w:p>
      <w:pPr>
        <w:pStyle w:val="SubStyleBorder"/>
      </w:pPr>
      <w:bookmarkStart w:id="16" w:name="abs15"/>
      <w:r>
        <w:fldChar w:fldCharType="begin"/>
      </w:r>
      <w:r>
        <w:instrText xml:space="preserve">REF Index \h</w:instrText>
      </w:r>
      <w:r>
        <w:fldChar w:fldCharType="separate"/>
      </w:r>
      <w:r>
        <w:rPr>
          <w:color w:val="0000ff"/>
          <w:sz w:val="20"/>
          <w:szCs w:val="20"/>
        </w:rPr>
        <w:t>[0915]</w:t>
      </w:r>
      <w:r>
        <w:fldChar w:fldCharType="end"/>
      </w:r>
      <w:bookmarkEnd w:id="16"/>
      <w:r>
        <w:t xml:space="preserve"> </w:t>
      </w:r>
      <w:r>
        <w:rPr>
          <w:i/>
          <w:b/>
        </w:rPr>
        <w:t>GraphIA. Paper artwork damage detection model</w:t>
      </w:r>
    </w:p>
    <w:p>
      <w:pPr>
        <w:pStyle w:val="Authors"/>
      </w:pPr>
      <w:r>
        <w:t>Annamaria Alabiso</w:t>
      </w:r>
      <w:r>
        <w:t xml:space="preserve"> (</w:t>
      </w:r>
      <w:r>
        <w:rPr>
          <w:color w:val="636363"/>
          <w:sz w:val="20"/>
          <w:szCs w:val="20"/>
        </w:rPr>
        <w:t>Department of Literary, Philosophical and Art History Studies, University of Rome Tor Vergata							</w:t>
      </w:r>
      <w:r>
        <w:t>)</w:t>
      </w:r>
      <w:r>
        <w:t xml:space="preserve">, </w:t>
      </w:r>
      <w:r>
        <w:t>Sara Coccoli</w:t>
      </w:r>
      <w:r>
        <w:t xml:space="preserve"> (</w:t>
      </w:r>
      <w:r>
        <w:rPr>
          <w:color w:val="636363"/>
          <w:sz w:val="20"/>
          <w:szCs w:val="20"/>
        </w:rPr>
        <w:t>Department of Literary, Philosophical and Art History Studies, University of Rome Tor Vergata</w:t>
      </w:r>
      <w:r>
        <w:t>)</w:t>
      </w:r>
      <w:r>
        <w:t xml:space="preserve">, </w:t>
      </w:r>
      <w:r>
        <w:t>Emanuele Fratocchi</w:t>
      </w:r>
      <w:r>
        <w:t xml:space="preserve"> (</w:t>
      </w:r>
      <w:r>
        <w:rPr>
          <w:color w:val="636363"/>
          <w:sz w:val="20"/>
          <w:szCs w:val="20"/>
        </w:rPr>
        <w:t>Department of Literary, Philosophical and Art History Studies, University of Rome Tor Vergata							</w:t>
      </w:r>
      <w:r>
        <w:t>)</w:t>
      </w:r>
      <w:r>
        <w:t xml:space="preserve">, </w:t>
      </w:r>
      <w:r>
        <w:t>Fulvio Mercuri</w:t>
      </w:r>
      <w:r>
        <w:t xml:space="preserve"> (</w:t>
      </w:r>
      <w:r>
        <w:rPr>
          <w:color w:val="636363"/>
          <w:sz w:val="20"/>
          <w:szCs w:val="20"/>
        </w:rPr>
        <w:t>Department of Industrial Engineering, Tor Vergata University of Rome</w:t>
      </w:r>
      <w:r>
        <w:t>)</w:t>
      </w:r>
      <w:r>
        <w:t xml:space="preserve">, </w:t>
      </w:r>
      <w:r>
        <w:t>Luciana Migliore</w:t>
      </w:r>
      <w:r>
        <w:t xml:space="preserve"> (</w:t>
      </w:r>
      <w:r>
        <w:rPr>
          <w:color w:val="636363"/>
          <w:sz w:val="20"/>
          <w:szCs w:val="20"/>
        </w:rPr>
        <w:t>Department of Biology, Tor Vergata University of Rome</w:t>
      </w:r>
      <w:r>
        <w:t>)</w:t>
      </w:r>
      <w:r>
        <w:t xml:space="preserve">, </w:t>
      </w:r>
      <w:r>
        <w:t>Silvia Orlanducci</w:t>
      </w:r>
      <w:r>
        <w:t xml:space="preserve"> (</w:t>
      </w:r>
      <w:r>
        <w:rPr>
          <w:color w:val="636363"/>
          <w:sz w:val="20"/>
          <w:szCs w:val="20"/>
        </w:rPr>
        <w:t>Department of Chemical Science and Technologies, Tor Vergata University of Rome</w:t>
      </w:r>
      <w:r>
        <w:t>)</w:t>
      </w:r>
      <w:r>
        <w:t xml:space="preserve">, </w:t>
      </w:r>
      <w:r>
        <w:t>Martina Moroni</w:t>
      </w:r>
      <w:r>
        <w:t xml:space="preserve"> (</w:t>
      </w:r>
      <w:r>
        <w:rPr>
          <w:color w:val="636363"/>
          <w:sz w:val="20"/>
          <w:szCs w:val="20"/>
        </w:rPr>
        <w:t>Istituto Centrale per la Grafica, Rome</w:t>
      </w:r>
      <w:r>
        <w:t>)</w:t>
      </w:r>
      <w:r>
        <w:t xml:space="preserve">. </w:t>
      </w:r>
    </w:p>
    <w:p>
      <w:pPr>
        <w:pStyle w:val="Text"/>
      </w:pPr>
      <w:r>
        <w:t>This study presents an initial implementation of AI-assisted deterioration detection in digitised graphic art collections, using supervised object-detection models trained on curated image datasets from the Gabinetto Disegni e Stampe of the Istituto Centrale per la Grafica. A taxonomy of paper-based deterioration phenomena, developed jointly with conservators and diagnosticians, was used to guide the manual annotation of high resolution images and to structure the training of YOLO-based object-detection models. The results of this first experimental phase indicate that state of the art AI tools can localise several deterioration categories with encouraging accuracy, while also revealing open challenges related to small, visually ambiguous defects and class imbalance that need to be addressed before these tools can reliably support collection level preventive conservation.</w:t>
      </w:r>
    </w:p>
    <w:p>
      <w:pPr>
        <w:pStyle w:val="SubStyleBorder"/>
      </w:pPr>
      <w:bookmarkStart w:id="17" w:name="abs16"/>
      <w:r>
        <w:fldChar w:fldCharType="begin"/>
      </w:r>
      <w:r>
        <w:instrText xml:space="preserve">REF Index \h</w:instrText>
      </w:r>
      <w:r>
        <w:fldChar w:fldCharType="separate"/>
      </w:r>
      <w:r>
        <w:rPr>
          <w:color w:val="0000ff"/>
          <w:sz w:val="20"/>
          <w:szCs w:val="20"/>
        </w:rPr>
        <w:t>[0962]</w:t>
      </w:r>
      <w:r>
        <w:fldChar w:fldCharType="end"/>
      </w:r>
      <w:bookmarkEnd w:id="17"/>
      <w:r>
        <w:t xml:space="preserve"> </w:t>
      </w:r>
      <w:r>
        <w:rPr>
          <w:i/>
          <w:b/>
        </w:rPr>
        <w:t>Nanodiamond composites as multifunctional additives for stability, protection, and sustainability in cellulose and collagen-based systems</w:t>
      </w:r>
    </w:p>
    <w:p>
      <w:pPr>
        <w:pStyle w:val="Authors"/>
      </w:pPr>
      <w:r>
        <w:t>Valeria Guglielmotti</w:t>
      </w:r>
      <w:r>
        <w:t xml:space="preserve"> (</w:t>
      </w:r>
      <w:r>
        <w:rPr>
          <w:color w:val="636363"/>
          <w:sz w:val="20"/>
          <w:szCs w:val="20"/>
        </w:rPr>
        <w:t>Department of Chemical Science and Technologies, Tor Vergata University of Rome</w:t>
      </w:r>
      <w:r>
        <w:t>)</w:t>
      </w:r>
      <w:r>
        <w:t xml:space="preserve">, </w:t>
      </w:r>
      <w:r>
        <w:t>Silvia Orlanducci</w:t>
      </w:r>
      <w:r>
        <w:t xml:space="preserve"> (</w:t>
      </w:r>
      <w:r>
        <w:rPr>
          <w:color w:val="636363"/>
          <w:sz w:val="20"/>
          <w:szCs w:val="20"/>
        </w:rPr>
        <w:t>Department of Chemical Science and Technologies, Tor Vergata University of Rome</w:t>
      </w:r>
      <w:r>
        <w:t>)</w:t>
      </w:r>
      <w:r>
        <w:t xml:space="preserve">, </w:t>
      </w:r>
      <w:r>
        <w:t>Beatrice Ercolani</w:t>
      </w:r>
      <w:r>
        <w:t xml:space="preserve"> (</w:t>
      </w:r>
      <w:r>
        <w:rPr>
          <w:color w:val="636363"/>
          <w:sz w:val="20"/>
          <w:szCs w:val="20"/>
        </w:rPr>
        <w:t>Department of Chemical Science and Technologies, Tor Vergata University of Rome</w:t>
      </w:r>
      <w:r>
        <w:t>)</w:t>
      </w:r>
      <w:r>
        <w:t xml:space="preserve">, </w:t>
      </w:r>
      <w:r>
        <w:t>Claudia Mazzuca</w:t>
      </w:r>
      <w:r>
        <w:t xml:space="preserve"> (</w:t>
      </w:r>
      <w:r>
        <w:rPr>
          <w:color w:val="636363"/>
          <w:sz w:val="20"/>
          <w:szCs w:val="20"/>
        </w:rPr>
        <w:t>Department of Chemical Science and Technologies, Tor Vergata University of Rome</w:t>
      </w:r>
      <w:r>
        <w:t>)</w:t>
      </w:r>
      <w:r>
        <w:t xml:space="preserve">, </w:t>
      </w:r>
      <w:r>
        <w:t>Emanuela Tamburri</w:t>
      </w:r>
      <w:r>
        <w:t xml:space="preserve"> (</w:t>
      </w:r>
      <w:r>
        <w:rPr>
          <w:color w:val="636363"/>
          <w:sz w:val="20"/>
          <w:szCs w:val="20"/>
        </w:rPr>
        <w:t>Department of Chemical Science and Technologies, Tor Vergata University of Rome</w:t>
      </w:r>
      <w:r>
        <w:t>)</w:t>
      </w:r>
      <w:r>
        <w:t xml:space="preserve">, </w:t>
      </w:r>
      <w:r>
        <w:t>Elena Palmieri</w:t>
      </w:r>
      <w:r>
        <w:t xml:space="preserve"> (</w:t>
      </w:r>
      <w:r>
        <w:rPr>
          <w:color w:val="636363"/>
          <w:sz w:val="20"/>
          <w:szCs w:val="20"/>
        </w:rPr>
        <w:t>Institute for microelectronics and microsystems, National Research Council</w:t>
      </w:r>
      <w:r>
        <w:t>)</w:t>
      </w:r>
      <w:r>
        <w:t xml:space="preserve">, </w:t>
      </w:r>
      <w:r>
        <w:t>Luciana Migliore</w:t>
      </w:r>
      <w:r>
        <w:t xml:space="preserve"> (</w:t>
      </w:r>
      <w:r>
        <w:rPr>
          <w:color w:val="636363"/>
          <w:sz w:val="20"/>
          <w:szCs w:val="20"/>
        </w:rPr>
        <w:t>Department of Biology, Tor Vergata University of Rome</w:t>
      </w:r>
      <w:r>
        <w:t>)</w:t>
      </w:r>
      <w:r>
        <w:t xml:space="preserve">, </w:t>
      </w:r>
      <w:r>
        <w:t>Annamaria Alabiso</w:t>
      </w:r>
      <w:r>
        <w:t xml:space="preserve"> (</w:t>
      </w:r>
      <w:r>
        <w:rPr>
          <w:color w:val="636363"/>
          <w:sz w:val="20"/>
          <w:szCs w:val="20"/>
        </w:rPr>
        <w:t>Department of Literary, Philosophical and Art History Studies, University of Rome Tor Vergata</w:t>
      </w:r>
      <w:r>
        <w:t>)</w:t>
      </w:r>
      <w:r>
        <w:t xml:space="preserve">, </w:t>
      </w:r>
      <w:r>
        <w:t>Cristina Cicero</w:t>
      </w:r>
      <w:r>
        <w:t xml:space="preserve"> (</w:t>
      </w:r>
      <w:r>
        <w:rPr>
          <w:color w:val="636363"/>
          <w:sz w:val="20"/>
          <w:szCs w:val="20"/>
        </w:rPr>
        <w:t>Department of Literary, Philosophical and Art History Studies, University of Rome Tor Vergata</w:t>
      </w:r>
      <w:r>
        <w:t>)</w:t>
      </w:r>
      <w:r>
        <w:t xml:space="preserve">, </w:t>
      </w:r>
      <w:r>
        <w:t>Fulvio Mercuri</w:t>
      </w:r>
      <w:r>
        <w:t xml:space="preserve"> (</w:t>
      </w:r>
      <w:r>
        <w:rPr>
          <w:color w:val="636363"/>
          <w:sz w:val="20"/>
          <w:szCs w:val="20"/>
        </w:rPr>
        <w:t>Department of Industrial Engineering, University of Rome Tor Vergata</w:t>
      </w:r>
      <w:r>
        <w:t>)</w:t>
      </w:r>
      <w:r>
        <w:t xml:space="preserve">, </w:t>
      </w:r>
      <w:r>
        <w:t>Ugo Zammit</w:t>
      </w:r>
      <w:r>
        <w:t xml:space="preserve"> (</w:t>
      </w:r>
      <w:r>
        <w:rPr>
          <w:color w:val="636363"/>
          <w:sz w:val="20"/>
          <w:szCs w:val="20"/>
        </w:rPr>
        <w:t>Department of Industrial Engineering, University of Rome Tor Vergata</w:t>
      </w:r>
      <w:r>
        <w:t>)</w:t>
      </w:r>
      <w:r>
        <w:t xml:space="preserve">, </w:t>
      </w:r>
      <w:r>
        <w:t>Noemi Orazi</w:t>
      </w:r>
      <w:r>
        <w:t xml:space="preserve"> (</w:t>
      </w:r>
      <w:r>
        <w:rPr>
          <w:color w:val="636363"/>
          <w:sz w:val="20"/>
          <w:szCs w:val="20"/>
        </w:rPr>
        <w:t>Department of Industrial Engineering, University of Rome Tor Vergata</w:t>
      </w:r>
      <w:r>
        <w:t>)</w:t>
      </w:r>
      <w:r>
        <w:t xml:space="preserve">. </w:t>
      </w:r>
    </w:p>
    <w:p>
      <w:pPr>
        <w:pStyle w:val="Text"/>
      </w:pPr>
      <w:r>
        <w:t>This work presents a review of a decennal work on the use of detonation nanodiamonds (DND) as consolidating agent for parchment substrates and in hydroxyethyl cellulose (HEC) and hydroxypropyl cellulose (HPC) dispersions for Cultural Heritage restoration and conservation. Effects of DND on parchment was analysed through the variations in parchment denaturation temperature by Light Transmission Analysis (LTA), before/after artificial aging. The hydrolysis/gelatinization degree of collagen was analyzed by Attenuated Total Reflection Fourier Transform IR (FTIR-ATR) spectroscopy. DND composites seem to improve the structural stability of the collagen networking, contrasting the thermo-hygrometric induced aging. The experimental findings concerning DND role in improving cellulose ether solutions’ durability, functionality, and shelf life were studied by evaluating rheological behaviour, chemical-physical properties, and degradation resistance. Microbial growth was drastically reduced in DND composites, DND-HPC coating material showed a 70% increase in paper water vapor barrier resistance and enhanced chemical stability in strongly acidic oxidizing environments.</w:t>
      </w:r>
    </w:p>
    <w:p>
      <w:pPr>
        <w:pStyle w:val="SubStyleBorder"/>
      </w:pPr>
      <w:bookmarkStart w:id="18" w:name="abs17"/>
      <w:r>
        <w:fldChar w:fldCharType="begin"/>
      </w:r>
      <w:r>
        <w:instrText xml:space="preserve">REF Index \h</w:instrText>
      </w:r>
      <w:r>
        <w:fldChar w:fldCharType="separate"/>
      </w:r>
      <w:r>
        <w:rPr>
          <w:color w:val="0000ff"/>
          <w:sz w:val="20"/>
          <w:szCs w:val="20"/>
        </w:rPr>
        <w:t>[0973]</w:t>
      </w:r>
      <w:r>
        <w:fldChar w:fldCharType="end"/>
      </w:r>
      <w:bookmarkEnd w:id="18"/>
      <w:r>
        <w:t xml:space="preserve"> </w:t>
      </w:r>
      <w:r>
        <w:rPr>
          <w:i/>
          <w:b/>
        </w:rPr>
        <w:t>Belella Polo and the Secret of Kokachin: Design of a serious game for the valorization of museum heritage and intercultural education</w:t>
      </w:r>
    </w:p>
    <w:p>
      <w:pPr>
        <w:pStyle w:val="Authors"/>
      </w:pPr>
      <w:r>
        <w:t>Attilio Della Greca</w:t>
      </w:r>
      <w:r>
        <w:t xml:space="preserve"> (</w:t>
      </w:r>
      <w:r>
        <w:rPr>
          <w:color w:val="636363"/>
          <w:sz w:val="20"/>
          <w:szCs w:val="20"/>
        </w:rPr>
        <w:t>University of Salerno</w:t>
      </w:r>
      <w:r>
        <w:t>)</w:t>
      </w:r>
      <w:r>
        <w:t xml:space="preserve">, </w:t>
      </w:r>
      <w:r>
        <w:t>Ilaria Amaro</w:t>
      </w:r>
      <w:r>
        <w:t xml:space="preserve"> (</w:t>
      </w:r>
      <w:r>
        <w:rPr>
          <w:color w:val="636363"/>
          <w:sz w:val="20"/>
          <w:szCs w:val="20"/>
        </w:rPr>
        <w:t>University of Salerno</w:t>
      </w:r>
      <w:r>
        <w:t>)</w:t>
      </w:r>
      <w:r>
        <w:t xml:space="preserve">, </w:t>
      </w:r>
      <w:r>
        <w:t>Alexia Pavan</w:t>
      </w:r>
      <w:r>
        <w:t xml:space="preserve"> (</w:t>
      </w:r>
      <w:r>
        <w:rPr>
          <w:color w:val="636363"/>
          <w:sz w:val="20"/>
          <w:szCs w:val="20"/>
        </w:rPr>
        <w:t>L’Orientale University of Naples</w:t>
      </w:r>
      <w:r>
        <w:t>)</w:t>
      </w:r>
      <w:r>
        <w:t xml:space="preserve">, </w:t>
      </w:r>
      <w:r>
        <w:t>Maria Rosaria Marchionibus</w:t>
      </w:r>
      <w:r>
        <w:t xml:space="preserve"> (</w:t>
      </w:r>
      <w:r>
        <w:rPr>
          <w:color w:val="636363"/>
          <w:sz w:val="20"/>
          <w:szCs w:val="20"/>
        </w:rPr>
        <w:t>L’Orientale University of Naples</w:t>
      </w:r>
      <w:r>
        <w:t>)</w:t>
      </w:r>
      <w:r>
        <w:t xml:space="preserve">, </w:t>
      </w:r>
      <w:r>
        <w:t>Paola Barra</w:t>
      </w:r>
      <w:r>
        <w:t xml:space="preserve"> (</w:t>
      </w:r>
      <w:r>
        <w:rPr>
          <w:color w:val="636363"/>
          <w:sz w:val="20"/>
          <w:szCs w:val="20"/>
        </w:rPr>
        <w:t>Parthenope University of Naples</w:t>
      </w:r>
      <w:r>
        <w:t>)</w:t>
      </w:r>
      <w:r>
        <w:t xml:space="preserve">. </w:t>
      </w:r>
    </w:p>
    <w:p>
      <w:pPr>
        <w:pStyle w:val="Text"/>
      </w:pPr>
      <w:r>
        <w:t>University museums often hold highly specialised collections that are difficult to make accessible and meaningful to younger visitors. This paper presents the design of Belella Polo and the Secret of Kokachin, a narrative, mobile serious game developed for the "Umberto Scerrato" Museum of the University of Naples L’Orientale and aimed at primary school audiences. Structured as a smartphone-based treasure hunt, the experience guides children through authentic artefacts of the museum’s Islamic and Chinese collections, combining storytelling, interactive 3D models, virtual reality scenes, relighting, and narrative hotspots within a recurring interaction loop that links each physical object to a dedicated digital activity. The narrative, inspired by Belella Polo, daughter of Marco Polo, and the Mongol princess Kokachin, frames the objects as material evidence of mobility, trade, and intercultural encounters along medieval exchange routes, turning the visit into an active learning adventure. We describe the experience architecture, the mapping between objects, mechanics, and learning objectives, and the use of generative AI to reconstruct the digital 3D models.</w:t>
      </w:r>
    </w:p>
    <w:p>
      <w:pPr>
        <w:pStyle w:val="SubStyleBorder"/>
      </w:pPr>
      <w:bookmarkStart w:id="19" w:name="abs18"/>
      <w:r>
        <w:fldChar w:fldCharType="begin"/>
      </w:r>
      <w:r>
        <w:instrText xml:space="preserve">REF Index \h</w:instrText>
      </w:r>
      <w:r>
        <w:fldChar w:fldCharType="separate"/>
      </w:r>
      <w:r>
        <w:rPr>
          <w:color w:val="0000ff"/>
          <w:sz w:val="20"/>
          <w:szCs w:val="20"/>
        </w:rPr>
        <w:t>[0990]</w:t>
      </w:r>
      <w:r>
        <w:fldChar w:fldCharType="end"/>
      </w:r>
      <w:bookmarkEnd w:id="19"/>
      <w:r>
        <w:t xml:space="preserve"> </w:t>
      </w:r>
      <w:r>
        <w:rPr>
          <w:i/>
          <w:b/>
        </w:rPr>
        <w:t>The Urban Development of Volsinii</w:t>
      </w:r>
    </w:p>
    <w:p>
      <w:pPr>
        <w:pStyle w:val="Authors"/>
      </w:pPr>
      <w:r>
        <w:t>Salvatore De Vincenzo</w:t>
      </w:r>
      <w:r>
        <w:t xml:space="preserve"> (</w:t>
      </w:r>
      <w:r>
        <w:rPr>
          <w:color w:val="636363"/>
          <w:sz w:val="20"/>
          <w:szCs w:val="20"/>
        </w:rPr>
        <w:t>Università degli Studi della Tuscia, Dip. Studi umanistici, lingue, lettere e beni culturali, Viterbo</w:t>
      </w:r>
      <w:r>
        <w:t>)</w:t>
      </w:r>
      <w:r>
        <w:t xml:space="preserve">. </w:t>
      </w:r>
    </w:p>
    <w:p>
      <w:pPr>
        <w:pStyle w:val="Text"/>
      </w:pPr>
      <w:r>
        <w:t>As part of the archaeological investigations launched at Volsinii and directed by the author, a series of archaeological excavations has been conducted on areas previously investigated by archaeologists from the École Française de Rome. The aim is to address issues that remained unresolved when the French project was suspended. These new investigations focus primarily on the forum and the sectors immediately adjacent to it to clarify the phases of urban development in the city’s public space. According to the French archaeologists, Volsinii is thought to have had a forum on the Mercatello terrace during the Republican period, in the same area where the amphitheater was built in the Flavian period. However, this proposed location is based solely on the observation that the area’s flat topography would have been suitable for a public space. The progresses in the interpretation of topology of Volsinii are here presented.</w:t>
      </w:r>
    </w:p>
    <w:p>
      <w:pPr>
        <w:pStyle w:val="SubStyleBorder"/>
      </w:pPr>
      <w:bookmarkStart w:id="20" w:name="abs19"/>
      <w:r>
        <w:fldChar w:fldCharType="begin"/>
      </w:r>
      <w:r>
        <w:instrText xml:space="preserve">REF Index \h</w:instrText>
      </w:r>
      <w:r>
        <w:fldChar w:fldCharType="separate"/>
      </w:r>
      <w:r>
        <w:rPr>
          <w:color w:val="0000ff"/>
          <w:sz w:val="20"/>
          <w:szCs w:val="20"/>
        </w:rPr>
        <w:t>[1035]</w:t>
      </w:r>
      <w:r>
        <w:fldChar w:fldCharType="end"/>
      </w:r>
      <w:bookmarkEnd w:id="20"/>
      <w:r>
        <w:t xml:space="preserve"> </w:t>
      </w:r>
      <w:r>
        <w:rPr>
          <w:i/>
          <w:b/>
        </w:rPr>
        <w:t>A Space-Aware Mixed Reality Pipeline for In-situ Cultural Heritage Recontextualization</w:t>
      </w:r>
    </w:p>
    <w:p>
      <w:pPr>
        <w:pStyle w:val="Authors"/>
      </w:pPr>
      <w:r>
        <w:t>Federico Martusciello</w:t>
      </w:r>
      <w:r>
        <w:t xml:space="preserve"> (</w:t>
      </w:r>
      <w:r>
        <w:rPr>
          <w:color w:val="636363"/>
          <w:sz w:val="20"/>
          <w:szCs w:val="20"/>
        </w:rPr>
        <w:t>Università degli studi dell'Aquila</w:t>
      </w:r>
      <w:r>
        <w:t>)</w:t>
      </w:r>
      <w:r>
        <w:t xml:space="preserve">, </w:t>
      </w:r>
      <w:r>
        <w:t>Calogero Carlino</w:t>
      </w:r>
      <w:r>
        <w:t xml:space="preserve"> (</w:t>
      </w:r>
      <w:r>
        <w:rPr>
          <w:color w:val="636363"/>
          <w:sz w:val="20"/>
          <w:szCs w:val="20"/>
        </w:rPr>
        <w:t>University of L'Aquila</w:t>
      </w:r>
      <w:r>
        <w:t>)</w:t>
      </w:r>
      <w:r>
        <w:t xml:space="preserve">, </w:t>
      </w:r>
      <w:r>
        <w:t>Luca Francesco Macera</w:t>
      </w:r>
      <w:r>
        <w:t xml:space="preserve"> (</w:t>
      </w:r>
      <w:r>
        <w:rPr>
          <w:color w:val="636363"/>
          <w:sz w:val="20"/>
          <w:szCs w:val="20"/>
        </w:rPr>
        <w:t>University of L'Aquila</w:t>
      </w:r>
      <w:r>
        <w:t>)</w:t>
      </w:r>
      <w:r>
        <w:t xml:space="preserve">, </w:t>
      </w:r>
      <w:r>
        <w:t>Henry Muccini</w:t>
      </w:r>
      <w:r>
        <w:t xml:space="preserve"> (</w:t>
      </w:r>
      <w:r>
        <w:rPr>
          <w:color w:val="636363"/>
          <w:sz w:val="20"/>
          <w:szCs w:val="20"/>
        </w:rPr>
        <w:t>University of L'Aquila</w:t>
      </w:r>
      <w:r>
        <w:t>)</w:t>
      </w:r>
      <w:r>
        <w:t xml:space="preserve">. </w:t>
      </w:r>
    </w:p>
    <w:p>
      <w:pPr>
        <w:pStyle w:val="Text"/>
      </w:pPr>
      <w:r>
        <w:t>Mixed Reality (MR) can support cultural heritage recontextualization by placing digital reconstructions within physical environments. However, many MR applications remain difficult to scale because 3D assets, spatial placement data, and interaction logic are often embedded into the application build. This paper presents a space-aware MR pipeline for runtime 3D content delivery on Meta Quest 3. The system exploits the headset's spatial mapping capabilities to recognize the physical environment and extract scene anchors, which are used to align virtual objects with real-world surfaces. Instead of being packaged into the client, cultural heritage assets and metadata are retrieved from an external Content Management System. The MR application therefore acts as a reusable spatial player that binds headset-generated spatial data with CMS-managed content. The proposed approach supports scalable, marker-less, and reconfigurable MR experiences for cultural heritage recontextualization.</w:t>
      </w:r>
    </w:p>
    <w:p>
      <w:pPr>
        <w:pStyle w:val="SubStyleBorder"/>
      </w:pPr>
      <w:bookmarkStart w:id="21" w:name="abs20"/>
      <w:r>
        <w:fldChar w:fldCharType="begin"/>
      </w:r>
      <w:r>
        <w:instrText xml:space="preserve">REF Index \h</w:instrText>
      </w:r>
      <w:r>
        <w:fldChar w:fldCharType="separate"/>
      </w:r>
      <w:r>
        <w:rPr>
          <w:color w:val="0000ff"/>
          <w:sz w:val="20"/>
          <w:szCs w:val="20"/>
        </w:rPr>
        <w:t>[1052]</w:t>
      </w:r>
      <w:r>
        <w:fldChar w:fldCharType="end"/>
      </w:r>
      <w:bookmarkEnd w:id="21"/>
      <w:r>
        <w:t xml:space="preserve"> </w:t>
      </w:r>
      <w:r>
        <w:rPr>
          <w:i/>
          <w:b/>
        </w:rPr>
        <w:t>A Low-Cost Methodology for the Enhancement and Reconstruction of Corroded Ancient Coins Using Image Processing and Photogrammetry</w:t>
      </w:r>
    </w:p>
    <w:p>
      <w:pPr>
        <w:pStyle w:val="Authors"/>
      </w:pPr>
      <w:r>
        <w:t>Emma Angelini</w:t>
      </w:r>
      <w:r>
        <w:t xml:space="preserve"> (</w:t>
      </w:r>
      <w:r>
        <w:rPr>
          <w:color w:val="636363"/>
          <w:sz w:val="20"/>
          <w:szCs w:val="20"/>
        </w:rPr>
        <w:t>DISAT - Politecnico di Torino</w:t>
      </w:r>
      <w:r>
        <w:t>)</w:t>
      </w:r>
      <w:r>
        <w:t xml:space="preserve">. </w:t>
      </w:r>
    </w:p>
    <w:p>
      <w:pPr>
        <w:pStyle w:val="Text"/>
      </w:pPr>
      <w:r>
        <w:t>The identification of surface features on heavily corroded ancient coins remains a major challenge in archaeological and numismatic research, especially when access to advanced analytical equipment is limited. This study presents a low-cost digital methodology for enhancing and reconstructing five corroded ancient coins from the Alexandria region of Egypt. The proposed workflow combines multi-light image acquisition, digital image processing, Reflectance Transformation Imaging (RTI), and photogrammetric reconstruction. Images were processed using GIMP, Meshroom, and Blender to enhance surface readability and generate 3D models. The results demonstrate improved visibility of inscriptions and iconographic details, supporting numismatic interpretation through accessible and reproducible digital techniques.</w:t>
      </w:r>
    </w:p>
    <w:p>
      <w:pPr>
        <w:pStyle w:val="SubStyleBorder"/>
      </w:pPr>
      <w:bookmarkStart w:id="22" w:name="abs21"/>
      <w:r>
        <w:fldChar w:fldCharType="begin"/>
      </w:r>
      <w:r>
        <w:instrText xml:space="preserve">REF Index \h</w:instrText>
      </w:r>
      <w:r>
        <w:fldChar w:fldCharType="separate"/>
      </w:r>
      <w:r>
        <w:rPr>
          <w:color w:val="0000ff"/>
          <w:sz w:val="20"/>
          <w:szCs w:val="20"/>
        </w:rPr>
        <w:t>[1061]</w:t>
      </w:r>
      <w:r>
        <w:fldChar w:fldCharType="end"/>
      </w:r>
      <w:bookmarkEnd w:id="22"/>
      <w:r>
        <w:t xml:space="preserve"> </w:t>
      </w:r>
      <w:r>
        <w:rPr>
          <w:i/>
          <w:b/>
        </w:rPr>
        <w:t>Non-invasive and micro-invasive analyses of Pre-Hispanic rock paintings from Inca Cueva site (Northwestern Argentina)</w:t>
      </w:r>
    </w:p>
    <w:p>
      <w:pPr>
        <w:pStyle w:val="Authors"/>
      </w:pPr>
      <w:r>
        <w:t>Lucas Gheco</w:t>
      </w:r>
      <w:r>
        <w:t xml:space="preserve"> (</w:t>
      </w:r>
      <w:r>
        <w:rPr>
          <w:color w:val="636363"/>
          <w:sz w:val="20"/>
          <w:szCs w:val="20"/>
        </w:rPr>
        <w:t>EAyP, UNSAM - IRES, CONICET-UNCA</w:t>
      </w:r>
      <w:r>
        <w:t>)</w:t>
      </w:r>
      <w:r>
        <w:t xml:space="preserve">, </w:t>
      </w:r>
      <w:r>
        <w:t>Marcos Tascon</w:t>
      </w:r>
      <w:r>
        <w:t xml:space="preserve"> (</w:t>
      </w:r>
      <w:r>
        <w:rPr>
          <w:color w:val="636363"/>
          <w:sz w:val="20"/>
          <w:szCs w:val="20"/>
        </w:rPr>
        <w:t>IIA - EAyP, UNSAM</w:t>
      </w:r>
      <w:r>
        <w:t>)</w:t>
      </w:r>
      <w:r>
        <w:t xml:space="preserve">, </w:t>
      </w:r>
      <w:r>
        <w:t>Matias Landino</w:t>
      </w:r>
      <w:r>
        <w:t xml:space="preserve"> (</w:t>
      </w:r>
      <w:r>
        <w:rPr>
          <w:color w:val="636363"/>
          <w:sz w:val="20"/>
          <w:szCs w:val="20"/>
        </w:rPr>
        <w:t>UNSAM - CONICET</w:t>
      </w:r>
      <w:r>
        <w:t>)</w:t>
      </w:r>
      <w:r>
        <w:t xml:space="preserve">, </w:t>
      </w:r>
      <w:r>
        <w:t>Eugenia Ahets Etcheberry</w:t>
      </w:r>
      <w:r>
        <w:t xml:space="preserve"> (</w:t>
      </w:r>
      <w:r>
        <w:rPr>
          <w:color w:val="636363"/>
          <w:sz w:val="20"/>
          <w:szCs w:val="20"/>
        </w:rPr>
        <w:t>UNSAM</w:t>
      </w:r>
      <w:r>
        <w:t>)</w:t>
      </w:r>
      <w:r>
        <w:t xml:space="preserve">, </w:t>
      </w:r>
      <w:r>
        <w:t>Fabio Leccese</w:t>
      </w:r>
      <w:r>
        <w:t xml:space="preserve"> (</w:t>
      </w:r>
      <w:r>
        <w:rPr>
          <w:color w:val="636363"/>
          <w:sz w:val="20"/>
          <w:szCs w:val="20"/>
        </w:rPr>
        <w:t>Dipartimento di Scienze Università degli Studi Roma Tre, Roma</w:t>
      </w:r>
      <w:r>
        <w:t>)</w:t>
      </w:r>
      <w:r>
        <w:t xml:space="preserve">, </w:t>
      </w:r>
      <w:r>
        <w:t>Emilia Halac</w:t>
      </w:r>
      <w:r>
        <w:t xml:space="preserve"> (</w:t>
      </w:r>
      <w:r>
        <w:rPr>
          <w:color w:val="636363"/>
          <w:sz w:val="20"/>
          <w:szCs w:val="20"/>
        </w:rPr>
        <w:t>Comisión Nacional de Energía Atómica, Centro Atómico Constituyentes</w:t>
      </w:r>
      <w:r>
        <w:t>)</w:t>
      </w:r>
      <w:r>
        <w:t xml:space="preserve">, </w:t>
      </w:r>
      <w:r>
        <w:t>Humberto Mamani</w:t>
      </w:r>
      <w:r>
        <w:t xml:space="preserve"> (</w:t>
      </w:r>
      <w:r>
        <w:rPr>
          <w:color w:val="636363"/>
          <w:sz w:val="20"/>
          <w:szCs w:val="20"/>
        </w:rPr>
        <w:t>Facultad de Humanidades y Ciencias Sociales, Universidad Nacional de Jujuy</w:t>
      </w:r>
      <w:r>
        <w:t>)</w:t>
      </w:r>
      <w:r>
        <w:t xml:space="preserve">, </w:t>
      </w:r>
      <w:r>
        <w:t>Marcos Quesada</w:t>
      </w:r>
      <w:r>
        <w:t xml:space="preserve"> (</w:t>
      </w:r>
      <w:r>
        <w:rPr>
          <w:color w:val="636363"/>
          <w:sz w:val="20"/>
          <w:szCs w:val="20"/>
        </w:rPr>
        <w:t>Instituto Regional de Estudios Socioculturales, CONICET-UNCA</w:t>
      </w:r>
      <w:r>
        <w:t>)</w:t>
      </w:r>
      <w:r>
        <w:t xml:space="preserve">, </w:t>
      </w:r>
      <w:r>
        <w:t>Diego Lamas</w:t>
      </w:r>
      <w:r>
        <w:t xml:space="preserve"> (</w:t>
      </w:r>
      <w:r>
        <w:rPr>
          <w:color w:val="636363"/>
          <w:sz w:val="20"/>
          <w:szCs w:val="20"/>
        </w:rPr>
        <w:t>Instituto de Tecnologías Emergentes y Ciencias Aplicadas (ITECA, UNSAM-CONICET)</w:t>
      </w:r>
      <w:r>
        <w:t>)</w:t>
      </w:r>
      <w:r>
        <w:t xml:space="preserve">, </w:t>
      </w:r>
      <w:r>
        <w:t>Fernando Marte</w:t>
      </w:r>
      <w:r>
        <w:t xml:space="preserve"> (</w:t>
      </w:r>
      <w:r>
        <w:rPr>
          <w:color w:val="636363"/>
          <w:sz w:val="20"/>
          <w:szCs w:val="20"/>
        </w:rPr>
        <w:t>Escuela de Arte y Patrimonio, Universidad Nacional de San Martin</w:t>
      </w:r>
      <w:r>
        <w:t>)</w:t>
      </w:r>
      <w:r>
        <w:t xml:space="preserve">. </w:t>
      </w:r>
    </w:p>
    <w:p>
      <w:pPr>
        <w:pStyle w:val="Text"/>
      </w:pPr>
      <w:r>
        <w:t>Pre-Hispanic rock art in present-day north-western Argentina is a diverse archaeological phenomenon spanning a wide chronological range. Among the most important sites in this region, the locality of Inca Cueva stands out for the temporal extent and continuity of the painting process that shaped its decorated walls over the last 10,000 years. These figures were executed in various hues of red, white, and black paintings, with a few exceptions in yellow and green. In this paper, we present a comprehensive multi-analytical research programme aimed at investigating the material composition of rock paintings at Inca Cueva. Several analyses were carried out, combining non-invasive (portable μXRF) with micro-invasive laboratory analyses using polarized light microscopy, SEM-EDS, Raman spectroscopy, and micro-X-ray diffraction. These studies were complemented with more exhaustive synchrotron-based analyses, using nano-X-ray fluorescence (nano-XRF). These studies enabled the identification of the diversity of painting mixtures employed in rock art making and revealed both changes and continuities in the materials used over time.</w:t>
      </w:r>
    </w:p>
    <w:p>
      <w:pPr>
        <w:pStyle w:val="SubStyleBorder"/>
      </w:pPr>
      <w:bookmarkStart w:id="23" w:name="abs22"/>
      <w:r>
        <w:fldChar w:fldCharType="begin"/>
      </w:r>
      <w:r>
        <w:instrText xml:space="preserve">REF Index \h</w:instrText>
      </w:r>
      <w:r>
        <w:fldChar w:fldCharType="separate"/>
      </w:r>
      <w:r>
        <w:rPr>
          <w:color w:val="0000ff"/>
          <w:sz w:val="20"/>
          <w:szCs w:val="20"/>
        </w:rPr>
        <w:t>[1077]</w:t>
      </w:r>
      <w:r>
        <w:fldChar w:fldCharType="end"/>
      </w:r>
      <w:bookmarkEnd w:id="23"/>
      <w:r>
        <w:t xml:space="preserve"> </w:t>
      </w:r>
      <w:r>
        <w:rPr>
          <w:i/>
          <w:b/>
        </w:rPr>
        <w:t>The UNESCO World Heritage site of the Historic Erbil Citadel: monitoring of indoor dust for conservation practices and protection of the public health.</w:t>
      </w:r>
    </w:p>
    <w:p>
      <w:pPr>
        <w:pStyle w:val="Authors"/>
      </w:pPr>
      <w:r>
        <w:t>Asaad Ismail</w:t>
      </w:r>
      <w:r>
        <w:t xml:space="preserve"> (</w:t>
      </w:r>
      <w:r>
        <w:rPr>
          <w:color w:val="636363"/>
          <w:sz w:val="20"/>
          <w:szCs w:val="20"/>
        </w:rPr>
        <w:t>Physics Department, Education Collage, Salahaddin University</w:t>
      </w:r>
      <w:r>
        <w:t>)</w:t>
      </w:r>
      <w:r>
        <w:t xml:space="preserve">, </w:t>
      </w:r>
      <w:r>
        <w:t>Simona Mancini</w:t>
      </w:r>
      <w:r>
        <w:t xml:space="preserve"> (</w:t>
      </w:r>
      <w:r>
        <w:rPr>
          <w:color w:val="636363"/>
          <w:sz w:val="20"/>
          <w:szCs w:val="20"/>
        </w:rPr>
        <w:t>university of Salerno</w:t>
      </w:r>
      <w:r>
        <w:t>)</w:t>
      </w:r>
      <w:r>
        <w:t xml:space="preserve">, </w:t>
      </w:r>
      <w:r>
        <w:t>Michele Guida</w:t>
      </w:r>
      <w:r>
        <w:t xml:space="preserve"> (</w:t>
      </w:r>
      <w:r>
        <w:rPr>
          <w:color w:val="636363"/>
          <w:sz w:val="20"/>
          <w:szCs w:val="20"/>
        </w:rPr>
        <w:t>Dipartimento di Ingegneria dell'Informazione ed Elettrica e Matematica applicata, Università di Salerno</w:t>
      </w:r>
      <w:r>
        <w:t>)</w:t>
      </w:r>
      <w:r>
        <w:t xml:space="preserve">. </w:t>
      </w:r>
    </w:p>
    <w:p>
      <w:pPr>
        <w:pStyle w:val="Text"/>
      </w:pPr>
      <w:r>
        <w:t>This study evaluated the concentrations of some pollutants in indoor dust samples collected within the historic Erbil Citadel and assessed their potential environmental and human health risks. The concentrations of Pb, Cd, Cr, Ni, Zn, Cu, and Fe were analyzed using standard analytical techniques. Results showed noticeable spatial variations in heavy metal concentrations among the studied locations. Several pollution assessment indices, including Contamination Factor, Pollution Load Index, Enrichment Factor, and Geo-accumulation Index, indicated moderate to considerable contamination levels in some locations, particularly in heritage and highly visited areas. Health risk assessment parameters were evaluated showing values generally below the acceptable safety limit. However, chromium and nickel contributed to carcinogenic risk values within internationally acceptable ranges, suggesting that long-term exposure may still pose potential health concerns. The findings emphasize the importance of continuous environmental monitoring and conservation practices to reduce pollutant accumulation and protect public health within historic urban environments.</w:t>
      </w:r>
    </w:p>
    <w:p>
      <w:pPr>
        <w:pStyle w:val="SubStyleBorder"/>
      </w:pPr>
      <w:bookmarkStart w:id="24" w:name="abs23"/>
      <w:r>
        <w:fldChar w:fldCharType="begin"/>
      </w:r>
      <w:r>
        <w:instrText xml:space="preserve">REF Index \h</w:instrText>
      </w:r>
      <w:r>
        <w:fldChar w:fldCharType="separate"/>
      </w:r>
      <w:r>
        <w:rPr>
          <w:color w:val="0000ff"/>
          <w:sz w:val="20"/>
          <w:szCs w:val="20"/>
        </w:rPr>
        <w:t>[1351]</w:t>
      </w:r>
      <w:r>
        <w:fldChar w:fldCharType="end"/>
      </w:r>
      <w:bookmarkEnd w:id="24"/>
      <w:r>
        <w:t xml:space="preserve"> </w:t>
      </w:r>
      <w:r>
        <w:rPr>
          <w:i/>
          <w:b/>
        </w:rPr>
        <w:t>Colour Palette and Blending Techniques in the Paintings of Józef Chełmoński: A Physicochemical Investigation of Selected Works from the National Museum in Krakow Collection</w:t>
      </w:r>
    </w:p>
    <w:p>
      <w:pPr>
        <w:pStyle w:val="Authors"/>
      </w:pPr>
      <w:r>
        <w:t>Anna Klisińska-Kopacz</w:t>
      </w:r>
      <w:r>
        <w:t xml:space="preserve"> (</w:t>
      </w:r>
      <w:r>
        <w:rPr>
          <w:color w:val="636363"/>
          <w:sz w:val="20"/>
          <w:szCs w:val="20"/>
        </w:rPr>
        <w:t>National Mueum in Krakow</w:t>
      </w:r>
      <w:r>
        <w:t>)</w:t>
      </w:r>
      <w:r>
        <w:t xml:space="preserve">, </w:t>
      </w:r>
      <w:r>
        <w:t>Marta Matosz</w:t>
      </w:r>
      <w:r>
        <w:t xml:space="preserve"> (</w:t>
      </w:r>
      <w:r>
        <w:rPr>
          <w:color w:val="636363"/>
          <w:sz w:val="20"/>
          <w:szCs w:val="20"/>
        </w:rPr>
        <w:t>National Museum in Krakow</w:t>
      </w:r>
      <w:r>
        <w:t>)</w:t>
      </w:r>
      <w:r>
        <w:t xml:space="preserve">, </w:t>
      </w:r>
      <w:r>
        <w:t>Paulina Krupska-Wolas</w:t>
      </w:r>
      <w:r>
        <w:t xml:space="preserve"> (</w:t>
      </w:r>
      <w:r>
        <w:rPr>
          <w:color w:val="636363"/>
          <w:sz w:val="20"/>
          <w:szCs w:val="20"/>
        </w:rPr>
        <w:t>Laboratory of Analysis and Non-Destructive Investigation of Heritage Objects (LANBOZ), National Museum in Krakow.</w:t>
      </w:r>
      <w:r>
        <w:t>)</w:t>
      </w:r>
      <w:r>
        <w:t xml:space="preserve">, </w:t>
      </w:r>
      <w:r>
        <w:t>Anna Ryguła</w:t>
      </w:r>
      <w:r>
        <w:t xml:space="preserve"> (</w:t>
      </w:r>
      <w:r>
        <w:rPr>
          <w:color w:val="636363"/>
          <w:sz w:val="20"/>
          <w:szCs w:val="20"/>
        </w:rPr>
        <w:t>The Laboratory of Analysis and Non-Destructive Investigation of Heritage Objects, The National Museum in Krakow</w:t>
      </w:r>
      <w:r>
        <w:t>)</w:t>
      </w:r>
      <w:r>
        <w:t xml:space="preserve">, </w:t>
      </w:r>
      <w:r>
        <w:t>Aldona Kopyciak</w:t>
      </w:r>
      <w:r>
        <w:t xml:space="preserve"> (</w:t>
      </w:r>
      <w:r>
        <w:rPr>
          <w:color w:val="636363"/>
          <w:sz w:val="20"/>
          <w:szCs w:val="20"/>
        </w:rPr>
        <w:t>National Museum in Krakow</w:t>
      </w:r>
      <w:r>
        <w:t>)</w:t>
      </w:r>
      <w:r>
        <w:t xml:space="preserve">, </w:t>
      </w:r>
      <w:r>
        <w:t>Karolina Skóra</w:t>
      </w:r>
      <w:r>
        <w:t xml:space="preserve"> (</w:t>
      </w:r>
      <w:r>
        <w:rPr>
          <w:color w:val="636363"/>
          <w:sz w:val="20"/>
          <w:szCs w:val="20"/>
        </w:rPr>
        <w:t>National Museum in Krakow</w:t>
      </w:r>
      <w:r>
        <w:t>)</w:t>
      </w:r>
      <w:r>
        <w:t xml:space="preserve">, </w:t>
      </w:r>
      <w:r>
        <w:t>Tomasz Wilkosz</w:t>
      </w:r>
      <w:r>
        <w:t xml:space="preserve"> (</w:t>
      </w:r>
      <w:r>
        <w:rPr>
          <w:color w:val="636363"/>
          <w:sz w:val="20"/>
          <w:szCs w:val="20"/>
        </w:rPr>
        <w:t>National Mueum in Krakow</w:t>
      </w:r>
      <w:r>
        <w:t>)</w:t>
      </w:r>
      <w:r>
        <w:t xml:space="preserve">, </w:t>
      </w:r>
      <w:r>
        <w:t>Michał Obarzanowski</w:t>
      </w:r>
      <w:r>
        <w:t xml:space="preserve"> (</w:t>
      </w:r>
      <w:r>
        <w:rPr>
          <w:color w:val="636363"/>
          <w:sz w:val="20"/>
          <w:szCs w:val="20"/>
        </w:rPr>
        <w:t>National Mueum in Krakow</w:t>
      </w:r>
      <w:r>
        <w:t>)</w:t>
      </w:r>
      <w:r>
        <w:t xml:space="preserve">, </w:t>
      </w:r>
      <w:r>
        <w:t>Julio M Del Hoyo</w:t>
      </w:r>
      <w:r>
        <w:t xml:space="preserve"> (</w:t>
      </w:r>
      <w:r>
        <w:rPr>
          <w:color w:val="636363"/>
          <w:sz w:val="20"/>
          <w:szCs w:val="20"/>
        </w:rPr>
        <w:t>National Museum in Kraków</w:t>
      </w:r>
      <w:r>
        <w:t>)</w:t>
      </w:r>
      <w:r>
        <w:t xml:space="preserve">. </w:t>
      </w:r>
    </w:p>
    <w:p>
      <w:pPr>
        <w:pStyle w:val="Text"/>
      </w:pPr>
      <w:r>
        <w:t>This study presents a physicochemical investigation of the colour palette and blending techniques in selected paintings by Józef Chełmoński from the collection of the National Museum in Kraków. The research was conducted within a broader interdisciplinary project accompanying a monographic exhibition and integrates both non-invasive and micro-invasive analytical methods. Techniques including X-ray fluorescence (XRF), Raman spectroscopy, optical microscopy, and SEM-EDS were employed to identify pigments and examine paint stratigraphy. The results reveal a consistent yet flexible system of colour construction based on a stable core palette, with lead white playing a fundamental structural and optical role. Complex colour effects were achieved through layered applications and nuanced pigment mixtures rather than the use of pure hues. These findings contribute to a deeper understanding of Chełmoński’s workshop practice and the technological aspects of 19th-century painting.</w:t>
      </w:r>
    </w:p>
    <w:p>
      <w:pPr>
        <w:pStyle w:val="SubStyleBorder"/>
      </w:pPr>
      <w:bookmarkStart w:id="25" w:name="abs24"/>
      <w:r>
        <w:fldChar w:fldCharType="begin"/>
      </w:r>
      <w:r>
        <w:instrText xml:space="preserve">REF Index \h</w:instrText>
      </w:r>
      <w:r>
        <w:fldChar w:fldCharType="separate"/>
      </w:r>
      <w:r>
        <w:rPr>
          <w:color w:val="0000ff"/>
          <w:sz w:val="20"/>
          <w:szCs w:val="20"/>
        </w:rPr>
        <w:t>[1414]</w:t>
      </w:r>
      <w:r>
        <w:fldChar w:fldCharType="end"/>
      </w:r>
      <w:bookmarkEnd w:id="25"/>
      <w:r>
        <w:t xml:space="preserve"> </w:t>
      </w:r>
      <w:r>
        <w:rPr>
          <w:i/>
          <w:b/>
        </w:rPr>
        <w:t>A Red-Light Optical Communication System for Underwater Audio Guidance Applications</w:t>
      </w:r>
    </w:p>
    <w:p>
      <w:pPr>
        <w:pStyle w:val="Authors"/>
      </w:pPr>
      <w:r>
        <w:t>Mariagrazia Leccisi</w:t>
      </w:r>
      <w:r>
        <w:t xml:space="preserve"> (</w:t>
      </w:r>
      <w:r>
        <w:rPr>
          <w:color w:val="636363"/>
          <w:sz w:val="20"/>
          <w:szCs w:val="20"/>
        </w:rPr>
        <w:t>Dipartimento di Scienze - Università degli Studi Roma Tre</w:t>
      </w:r>
      <w:r>
        <w:t>)</w:t>
      </w:r>
      <w:r>
        <w:t xml:space="preserve">, </w:t>
      </w:r>
      <w:r>
        <w:t>Giorgia Satta</w:t>
      </w:r>
      <w:r>
        <w:t xml:space="preserve"> (</w:t>
      </w:r>
      <w:r>
        <w:rPr>
          <w:color w:val="636363"/>
          <w:sz w:val="20"/>
          <w:szCs w:val="20"/>
        </w:rPr>
        <w:t>Dipartimento di Scienze - Università degli Studi Roma Tre</w:t>
      </w:r>
      <w:r>
        <w:t>)</w:t>
      </w:r>
      <w:r>
        <w:t xml:space="preserve">, </w:t>
      </w:r>
      <w:r>
        <w:t>Fabio Leccese</w:t>
      </w:r>
      <w:r>
        <w:t xml:space="preserve"> (</w:t>
      </w:r>
      <w:r>
        <w:rPr>
          <w:color w:val="636363"/>
          <w:sz w:val="20"/>
          <w:szCs w:val="20"/>
        </w:rPr>
        <w:t>Università degli Studi "Roma Tre"</w:t>
      </w:r>
      <w:r>
        <w:t>)</w:t>
      </w:r>
      <w:r>
        <w:t xml:space="preserve">. </w:t>
      </w:r>
    </w:p>
    <w:p>
      <w:pPr>
        <w:pStyle w:val="Text"/>
      </w:pPr>
      <w:r>
        <w:t>Underwater archaeological sites are an important heritage site to be protected and studied, as well as being of great interest for tourism. Despite the development of devices for diving activities, such as augmented reality, the underwater tourism sector presents numerous challenges regarding accessibility, navigation, and user experience. In this context, this project proposes a simple, scalable, and cost-effective audio guide system to enhance the visitor experience of underwater archaeological sites, overcoming current limitations. The developed system is based on Underwater Optical Wireless Communication (UOWC), designed to enhance the experience of underwater visitors by playing audio content associated with various points of interest, marked along the tour route. This work presents preliminary tests that highlight the potential use of underwater optical communication as a tool for promoting underwater cultural heritage.</w:t>
      </w:r>
    </w:p>
    <w:p>
      <w:pPr>
        <w:pStyle w:val="SubStyleBorder"/>
      </w:pPr>
      <w:bookmarkStart w:id="26" w:name="abs25"/>
      <w:r>
        <w:fldChar w:fldCharType="begin"/>
      </w:r>
      <w:r>
        <w:instrText xml:space="preserve">REF Index \h</w:instrText>
      </w:r>
      <w:r>
        <w:fldChar w:fldCharType="separate"/>
      </w:r>
      <w:r>
        <w:rPr>
          <w:color w:val="0000ff"/>
          <w:sz w:val="20"/>
          <w:szCs w:val="20"/>
        </w:rPr>
        <w:t>[1416]</w:t>
      </w:r>
      <w:r>
        <w:fldChar w:fldCharType="end"/>
      </w:r>
      <w:bookmarkEnd w:id="26"/>
      <w:r>
        <w:t xml:space="preserve"> </w:t>
      </w:r>
      <w:r>
        <w:rPr>
          <w:i/>
          <w:b/>
        </w:rPr>
        <w:t>Interconnecting landscapes, itineraries and topography: geoarchaeological analyses along the Thessalonike – Philippis stretch of Via Egnatia in Greece</w:t>
      </w:r>
    </w:p>
    <w:p>
      <w:pPr>
        <w:pStyle w:val="Authors"/>
      </w:pPr>
      <w:r>
        <w:t>Chiara Manieri</w:t>
      </w:r>
      <w:r>
        <w:t xml:space="preserve"> (</w:t>
      </w:r>
      <w:r>
        <w:rPr>
          <w:color w:val="636363"/>
          <w:sz w:val="20"/>
          <w:szCs w:val="20"/>
        </w:rPr>
        <w:t>PhD candidate (Pasap_med), University of Bari</w:t>
      </w:r>
      <w:r>
        <w:t>)</w:t>
      </w:r>
      <w:r>
        <w:t xml:space="preserve">, </w:t>
      </w:r>
      <w:r>
        <w:t>Emeri Farinetti</w:t>
      </w:r>
      <w:r>
        <w:t xml:space="preserve"> (</w:t>
      </w:r>
      <w:r>
        <w:rPr>
          <w:color w:val="636363"/>
          <w:sz w:val="20"/>
          <w:szCs w:val="20"/>
        </w:rPr>
        <w:t>University of RomaTre, Department of Humanities</w:t>
      </w:r>
      <w:r>
        <w:t>)</w:t>
      </w:r>
      <w:r>
        <w:t xml:space="preserve">, </w:t>
      </w:r>
      <w:r>
        <w:t>Maurizio Lazzari</w:t>
      </w:r>
      <w:r>
        <w:t xml:space="preserve"> (</w:t>
      </w:r>
      <w:r>
        <w:rPr>
          <w:color w:val="636363"/>
          <w:sz w:val="20"/>
          <w:szCs w:val="20"/>
        </w:rPr>
        <w:t>CNR ISPC - Potenza</w:t>
      </w:r>
      <w:r>
        <w:t>)</w:t>
      </w:r>
      <w:r>
        <w:t xml:space="preserve">. </w:t>
      </w:r>
    </w:p>
    <w:p>
      <w:pPr>
        <w:pStyle w:val="Text"/>
      </w:pPr>
      <w:r>
        <w:t>In continuity with the methodological approach followed by the authors in the Albanian segment of the Via Egnatia Peqin-Prrenjes, this contribution aims at showing the results obtained by applying the same methodology for the study of Thessalonike - Philippis stretch, in Greece. In particular, after the punctual mapping of the archaeological evidence and of the Roman, Byzantine and Ottoman stations known for the territory object of analysis, field surveys have been carried out along the stretch considered. The work done has allowed to reconsider the knowledge already existing on Via Egnatia in Greece in a wider geoarchaeological framework, in which fluvial and lake dynamics and slope variations influenced the ancient project of the road</w:t>
      </w:r>
    </w:p>
    <w:p>
      <w:pPr>
        <w:pStyle w:val="SubStyleBorder"/>
      </w:pPr>
      <w:bookmarkStart w:id="27" w:name="abs26"/>
      <w:r>
        <w:fldChar w:fldCharType="begin"/>
      </w:r>
      <w:r>
        <w:instrText xml:space="preserve">REF Index \h</w:instrText>
      </w:r>
      <w:r>
        <w:fldChar w:fldCharType="separate"/>
      </w:r>
      <w:r>
        <w:rPr>
          <w:color w:val="0000ff"/>
          <w:sz w:val="20"/>
          <w:szCs w:val="20"/>
        </w:rPr>
        <w:t>[1470]</w:t>
      </w:r>
      <w:r>
        <w:fldChar w:fldCharType="end"/>
      </w:r>
      <w:bookmarkEnd w:id="27"/>
      <w:r>
        <w:t xml:space="preserve"> </w:t>
      </w:r>
      <w:r>
        <w:rPr>
          <w:i/>
          <w:b/>
        </w:rPr>
        <w:t>Enhancing Buried Road Detection through Attribute-Based GPR Data Processing</w:t>
      </w:r>
    </w:p>
    <w:p>
      <w:pPr>
        <w:pStyle w:val="Authors"/>
      </w:pPr>
      <w:r>
        <w:t>Luca Bianchini Ciampoli</w:t>
      </w:r>
      <w:r>
        <w:t xml:space="preserve"> (</w:t>
      </w:r>
      <w:r>
        <w:rPr>
          <w:color w:val="636363"/>
          <w:sz w:val="20"/>
          <w:szCs w:val="20"/>
        </w:rPr>
        <w:t>Roma Tre University</w:t>
      </w:r>
      <w:r>
        <w:t>)</w:t>
      </w:r>
      <w:r>
        <w:t xml:space="preserve">, </w:t>
      </w:r>
      <w:r>
        <w:t>Saeed Parnow</w:t>
      </w:r>
      <w:r>
        <w:t xml:space="preserve"> (</w:t>
      </w:r>
      <w:r>
        <w:rPr>
          <w:color w:val="636363"/>
          <w:sz w:val="20"/>
          <w:szCs w:val="20"/>
        </w:rPr>
        <w:t>University of West London</w:t>
      </w:r>
      <w:r>
        <w:t>)</w:t>
      </w:r>
      <w:r>
        <w:t xml:space="preserve">, </w:t>
      </w:r>
      <w:r>
        <w:t>Fabio Tosti</w:t>
      </w:r>
      <w:r>
        <w:t xml:space="preserve"> (</w:t>
      </w:r>
      <w:r>
        <w:rPr>
          <w:color w:val="636363"/>
          <w:sz w:val="20"/>
          <w:szCs w:val="20"/>
        </w:rPr>
        <w:t>University of West London</w:t>
      </w:r>
      <w:r>
        <w:t>)</w:t>
      </w:r>
      <w:r>
        <w:t xml:space="preserve">, </w:t>
      </w:r>
      <w:r>
        <w:t>Andrea Benedetto</w:t>
      </w:r>
      <w:r>
        <w:t xml:space="preserve"> (</w:t>
      </w:r>
      <w:r>
        <w:rPr>
          <w:color w:val="636363"/>
          <w:sz w:val="20"/>
          <w:szCs w:val="20"/>
        </w:rPr>
        <w:t>Roma Tre University</w:t>
      </w:r>
      <w:r>
        <w:t>)</w:t>
      </w:r>
      <w:r>
        <w:t xml:space="preserve">. </w:t>
      </w:r>
    </w:p>
    <w:p>
      <w:pPr>
        <w:pStyle w:val="Text"/>
      </w:pPr>
      <w:r>
        <w:t>Historic roads are integral to the cultural and visual heritage of landscapes, reflecting the historical narratives of regions and the populations they served. Mapping the planimetric and altimetric pathways of these ancient routes provides critical insights into how past societies interacted with their environment. Beyond their historical and archaeological value, rediscovered and restored roadways offer contemporary opportunities for "slow mobility," promoting sustainable tourism and local engagement with heritage sites.
This study presents a novel data-processing framework based on ground-penetrating radar (GPR) to improve the detection and geometric characterisation of buried historical roads. The research focuses on two significant case studies in Rome, Italy-Villa dei Sette Bassi, where historical and archaeological evidence suggest the presence of uncharted ancient road connections.
The proposed methodology employs signal attribute-based analysis to address key limitations in current detection techniques, including challenges posed by highly heterogeneous environments typical of archaeologically rich soils. By improving the accuracy and reliability of identifying structural components of ancient roadways, this approach advances our understanding of historical landscapes and supports sustainable heritage utilisation strategies.</w:t>
      </w:r>
    </w:p>
    <w:p>
      <w:pPr>
        <w:pStyle w:val="SubStyleBorder"/>
      </w:pPr>
      <w:bookmarkStart w:id="28" w:name="abs27"/>
      <w:r>
        <w:fldChar w:fldCharType="begin"/>
      </w:r>
      <w:r>
        <w:instrText xml:space="preserve">REF Index \h</w:instrText>
      </w:r>
      <w:r>
        <w:fldChar w:fldCharType="separate"/>
      </w:r>
      <w:r>
        <w:rPr>
          <w:color w:val="0000ff"/>
          <w:sz w:val="20"/>
          <w:szCs w:val="20"/>
        </w:rPr>
        <w:t>[1486]</w:t>
      </w:r>
      <w:r>
        <w:fldChar w:fldCharType="end"/>
      </w:r>
      <w:bookmarkEnd w:id="28"/>
      <w:r>
        <w:t xml:space="preserve"> </w:t>
      </w:r>
      <w:r>
        <w:rPr>
          <w:i/>
          <w:b/>
        </w:rPr>
        <w:t>The Odyssey of a Naval Steam Engine: From a Warship Propulsion System to an Educational Instrument of the School of Naval Architecture and Marine Engineering NTUA</w:t>
      </w:r>
    </w:p>
    <w:p>
      <w:pPr>
        <w:pStyle w:val="Authors"/>
      </w:pPr>
      <w:r>
        <w:t>Antonios Dimos</w:t>
      </w:r>
      <w:r>
        <w:t xml:space="preserve"> (</w:t>
      </w:r>
      <w:r>
        <w:rPr>
          <w:color w:val="636363"/>
          <w:sz w:val="20"/>
          <w:szCs w:val="20"/>
        </w:rPr>
        <w:t>School of Chemical Engineering, NTUA, Iroon Polytechneiou 9 Athens</w:t>
      </w:r>
      <w:r>
        <w:t>)</w:t>
      </w:r>
      <w:r>
        <w:t xml:space="preserve">, </w:t>
      </w:r>
      <w:r>
        <w:t>Zafeiria Dimou</w:t>
      </w:r>
      <w:r>
        <w:t xml:space="preserve"> (</w:t>
      </w:r>
      <w:r>
        <w:rPr>
          <w:color w:val="636363"/>
          <w:sz w:val="20"/>
          <w:szCs w:val="20"/>
        </w:rPr>
        <w:t>Department of Aerospace Science and Technology, School of Science, NKUA, Greece</w:t>
      </w:r>
      <w:r>
        <w:t>)</w:t>
      </w:r>
      <w:r>
        <w:t xml:space="preserve">, </w:t>
      </w:r>
      <w:r>
        <w:t>Panayota Vassiliou</w:t>
      </w:r>
      <w:r>
        <w:t xml:space="preserve"> (</w:t>
      </w:r>
      <w:r>
        <w:rPr>
          <w:color w:val="636363"/>
          <w:sz w:val="20"/>
          <w:szCs w:val="20"/>
        </w:rPr>
        <w:t>School of Chemical Engineering, NTUA, Iroon Polytechneiou 9 Athens</w:t>
      </w:r>
      <w:r>
        <w:t>)</w:t>
      </w:r>
      <w:r>
        <w:t xml:space="preserve">, </w:t>
      </w:r>
      <w:r>
        <w:t>Kostas Spyrou</w:t>
      </w:r>
      <w:r>
        <w:t xml:space="preserve"> (</w:t>
      </w:r>
      <w:r>
        <w:rPr>
          <w:color w:val="636363"/>
          <w:sz w:val="20"/>
          <w:szCs w:val="20"/>
        </w:rPr>
        <w:t>School of Naval Architecture and Marine Engineering, NTUA, Iroon Polytechneiou 9 Athens</w:t>
      </w:r>
      <w:r>
        <w:t>)</w:t>
      </w:r>
      <w:r>
        <w:t xml:space="preserve">. </w:t>
      </w:r>
    </w:p>
    <w:p>
      <w:pPr>
        <w:pStyle w:val="Text"/>
      </w:pPr>
      <w:r>
        <w:t>Nowadays there is a huge stock of old engines which are functional but their technology is so outdated that the benefit from using them for the purpose for which they were built is zero. However, their use for educational and pedagogical purposes is a very good alternative. The purpose of this study is to reveal the history of the old steam engine of the Christina Onassis ship and to highlight it as a museum exhibit of great historical and educational value. Through the study of the historical archives and the careful observation of the engine, it was shown that it is in a fairly good state of preservation, has undergone few interventions in the past while it is still functional, which makes its pedagogical use possible, within the framework of the marine engineering courses of the School of Naval Architecture and Mechanical Engineering of the National Technical University of Athens, where it is kept.</w:t>
      </w:r>
    </w:p>
    <w:p>
      <w:pPr>
        <w:pStyle w:val="SubStyleBorder"/>
      </w:pPr>
      <w:bookmarkStart w:id="29" w:name="abs28"/>
      <w:r>
        <w:fldChar w:fldCharType="begin"/>
      </w:r>
      <w:r>
        <w:instrText xml:space="preserve">REF Index \h</w:instrText>
      </w:r>
      <w:r>
        <w:fldChar w:fldCharType="separate"/>
      </w:r>
      <w:r>
        <w:rPr>
          <w:color w:val="0000ff"/>
          <w:sz w:val="20"/>
          <w:szCs w:val="20"/>
        </w:rPr>
        <w:t>[1493]</w:t>
      </w:r>
      <w:r>
        <w:fldChar w:fldCharType="end"/>
      </w:r>
      <w:bookmarkEnd w:id="29"/>
      <w:r>
        <w:t xml:space="preserve"> </w:t>
      </w:r>
      <w:r>
        <w:rPr>
          <w:i/>
          <w:b/>
        </w:rPr>
        <w:t>Microclimatic monitoring Integrated with Virtual Reality. Case study of the Crypt of St. Margherita in Melfi (Southern Italy)</w:t>
      </w:r>
    </w:p>
    <w:p>
      <w:pPr>
        <w:pStyle w:val="Authors"/>
      </w:pPr>
      <w:r>
        <w:t>Maria Sileo</w:t>
      </w:r>
      <w:r>
        <w:t xml:space="preserve"> (</w:t>
      </w:r>
      <w:r>
        <w:rPr>
          <w:color w:val="636363"/>
          <w:sz w:val="20"/>
          <w:szCs w:val="20"/>
        </w:rPr>
        <w:t>CNR ISPC</w:t>
      </w:r>
      <w:r>
        <w:t>)</w:t>
      </w:r>
      <w:r>
        <w:t xml:space="preserve">, </w:t>
      </w:r>
      <w:r>
        <w:t>Domenico Conte</w:t>
      </w:r>
      <w:r>
        <w:t xml:space="preserve"> (</w:t>
      </w:r>
      <w:r>
        <w:rPr>
          <w:color w:val="636363"/>
          <w:sz w:val="20"/>
          <w:szCs w:val="20"/>
        </w:rPr>
        <w:t>Digimat SpA</w:t>
      </w:r>
      <w:r>
        <w:t>)</w:t>
      </w:r>
      <w:r>
        <w:t xml:space="preserve">, </w:t>
      </w:r>
      <w:r>
        <w:t>Giandamiano Fiore</w:t>
      </w:r>
      <w:r>
        <w:t xml:space="preserve"> (</w:t>
      </w:r>
      <w:r>
        <w:rPr>
          <w:color w:val="636363"/>
          <w:sz w:val="20"/>
          <w:szCs w:val="20"/>
        </w:rPr>
        <w:t>Sapienza Università di Roma</w:t>
      </w:r>
      <w:r>
        <w:t>)</w:t>
      </w:r>
      <w:r>
        <w:t xml:space="preserve">, </w:t>
      </w:r>
      <w:r>
        <w:t>Fabrizio Terenzio Gizzi</w:t>
      </w:r>
      <w:r>
        <w:t xml:space="preserve"> (</w:t>
      </w:r>
      <w:r>
        <w:rPr>
          <w:color w:val="636363"/>
          <w:sz w:val="20"/>
          <w:szCs w:val="20"/>
        </w:rPr>
        <w:t>CNR-ISPC</w:t>
      </w:r>
      <w:r>
        <w:t>)</w:t>
      </w:r>
      <w:r>
        <w:t xml:space="preserve">, </w:t>
      </w:r>
      <w:r>
        <w:t>Antonella Marsico</w:t>
      </w:r>
      <w:r>
        <w:t xml:space="preserve"> (</w:t>
      </w:r>
      <w:r>
        <w:rPr>
          <w:color w:val="636363"/>
          <w:sz w:val="20"/>
          <w:szCs w:val="20"/>
        </w:rPr>
        <w:t>Digimat SpA</w:t>
      </w:r>
      <w:r>
        <w:t>)</w:t>
      </w:r>
      <w:r>
        <w:t xml:space="preserve">, </w:t>
      </w:r>
      <w:r>
        <w:t>Luca D'Andrea</w:t>
      </w:r>
      <w:r>
        <w:t xml:space="preserve"> (</w:t>
      </w:r>
      <w:r>
        <w:rPr>
          <w:color w:val="636363"/>
          <w:sz w:val="20"/>
          <w:szCs w:val="20"/>
        </w:rPr>
        <w:t>Digimat SpA</w:t>
      </w:r>
      <w:r>
        <w:t>)</w:t>
      </w:r>
      <w:r>
        <w:t xml:space="preserve">, </w:t>
      </w:r>
      <w:r>
        <w:t>Sivia Liaci</w:t>
      </w:r>
      <w:r>
        <w:t xml:space="preserve"> (</w:t>
      </w:r>
      <w:r>
        <w:rPr>
          <w:color w:val="636363"/>
          <w:sz w:val="20"/>
          <w:szCs w:val="20"/>
        </w:rPr>
        <w:t>CNR-ISPC</w:t>
      </w:r>
      <w:r>
        <w:t>)</w:t>
      </w:r>
      <w:r>
        <w:t xml:space="preserve">, </w:t>
      </w:r>
      <w:r>
        <w:t>Nicola Masini</w:t>
      </w:r>
      <w:r>
        <w:t xml:space="preserve"> (</w:t>
      </w:r>
      <w:r>
        <w:rPr>
          <w:color w:val="636363"/>
          <w:sz w:val="20"/>
          <w:szCs w:val="20"/>
        </w:rPr>
        <w:t>National Research Council - Istitute of Heritage Science (CNR - ISPC)</w:t>
      </w:r>
      <w:r>
        <w:t>)</w:t>
      </w:r>
      <w:r>
        <w:t xml:space="preserve">. </w:t>
      </w:r>
    </w:p>
    <w:p>
      <w:pPr>
        <w:pStyle w:val="Text"/>
      </w:pPr>
      <w:r>
        <w:t>Microclimatic monitoring integrated with Building Information Modeling (BIM) and Virtual Reality (VR) represents an advanced approach for managing, analyzing, and visualizing environmental conditions in indoor contexts. This paper presents the case study of the rock church of Santa Margherita in Melfi (Basilicata, Southern Italy), which was selected as an experimental laboratory. The developed system integrates microclimatic data with BIM models and immersive VR environments, enabling a multidimensional interpretation of thermo-hygrometric variations over time. The approach aims to support knowledge, valorization, and conservation processes, with reference to the protection of frescoes. The results highlight the potential of integrating monitoring and digital technologies for sustainable management of cultural heritage</w:t>
      </w:r>
    </w:p>
    <w:p>
      <w:pPr>
        <w:pStyle w:val="SubStyleBorder"/>
      </w:pPr>
      <w:bookmarkStart w:id="30" w:name="abs29"/>
      <w:r>
        <w:fldChar w:fldCharType="begin"/>
      </w:r>
      <w:r>
        <w:instrText xml:space="preserve">REF Index \h</w:instrText>
      </w:r>
      <w:r>
        <w:fldChar w:fldCharType="separate"/>
      </w:r>
      <w:r>
        <w:rPr>
          <w:color w:val="0000ff"/>
          <w:sz w:val="20"/>
          <w:szCs w:val="20"/>
        </w:rPr>
        <w:t>[1742]</w:t>
      </w:r>
      <w:r>
        <w:fldChar w:fldCharType="end"/>
      </w:r>
      <w:bookmarkEnd w:id="30"/>
      <w:r>
        <w:t xml:space="preserve"> </w:t>
      </w:r>
      <w:r>
        <w:rPr>
          <w:i/>
          <w:b/>
        </w:rPr>
        <w:t>A Compass-Driven Mobile Application for On-Site and Remote 360° Immersive Visualization of the Lost Mínguez Pier, Torrevieja (Alicante, Spain)</w:t>
      </w:r>
    </w:p>
    <w:p>
      <w:pPr>
        <w:pStyle w:val="Authors"/>
      </w:pPr>
      <w:r>
        <w:t>Daniel Tejerina</w:t>
      </w:r>
      <w:r>
        <w:t xml:space="preserve"> (</w:t>
      </w:r>
      <w:r>
        <w:rPr>
          <w:color w:val="636363"/>
          <w:sz w:val="20"/>
          <w:szCs w:val="20"/>
        </w:rPr>
        <w:t>University of Alicante</w:t>
      </w:r>
      <w:r>
        <w:t>)</w:t>
      </w:r>
      <w:r>
        <w:t xml:space="preserve">, </w:t>
      </w:r>
      <w:r>
        <w:t>Jaime Molina</w:t>
      </w:r>
      <w:r>
        <w:t xml:space="preserve"> (</w:t>
      </w:r>
      <w:r>
        <w:rPr>
          <w:color w:val="636363"/>
          <w:sz w:val="20"/>
          <w:szCs w:val="20"/>
        </w:rPr>
        <w:t>University of Alicante</w:t>
      </w:r>
      <w:r>
        <w:t>)</w:t>
      </w:r>
      <w:r>
        <w:t xml:space="preserve">, </w:t>
      </w:r>
      <w:r>
        <w:t>Manuel Soler</w:t>
      </w:r>
      <w:r>
        <w:t xml:space="preserve"> (</w:t>
      </w:r>
      <w:r>
        <w:rPr>
          <w:color w:val="636363"/>
          <w:sz w:val="20"/>
          <w:szCs w:val="20"/>
        </w:rPr>
        <w:t>ARPA Patrimonio S.L.</w:t>
      </w:r>
      <w:r>
        <w:t>)</w:t>
      </w:r>
      <w:r>
        <w:t xml:space="preserve">, </w:t>
      </w:r>
      <w:r>
        <w:t>Marco Aurelio Esquembre</w:t>
      </w:r>
      <w:r>
        <w:t xml:space="preserve"> (</w:t>
      </w:r>
      <w:r>
        <w:rPr>
          <w:color w:val="636363"/>
          <w:sz w:val="20"/>
          <w:szCs w:val="20"/>
        </w:rPr>
        <w:t>ARPA Patrimonio S.L.</w:t>
      </w:r>
      <w:r>
        <w:t>)</w:t>
      </w:r>
      <w:r>
        <w:t xml:space="preserve">, </w:t>
      </w:r>
      <w:r>
        <w:t>José Ramón Ortega</w:t>
      </w:r>
      <w:r>
        <w:t xml:space="preserve"> (</w:t>
      </w:r>
      <w:r>
        <w:rPr>
          <w:color w:val="636363"/>
          <w:sz w:val="20"/>
          <w:szCs w:val="20"/>
        </w:rPr>
        <w:t>ARPA Patrimonio S.L.</w:t>
      </w:r>
      <w:r>
        <w:t>)</w:t>
      </w:r>
      <w:r>
        <w:t xml:space="preserve">, </w:t>
      </w:r>
      <w:r>
        <w:t>Alejandro Martín</w:t>
      </w:r>
      <w:r>
        <w:t xml:space="preserve"> (</w:t>
      </w:r>
      <w:r>
        <w:rPr>
          <w:color w:val="636363"/>
          <w:sz w:val="20"/>
          <w:szCs w:val="20"/>
        </w:rPr>
        <w:t>University of Alicante</w:t>
      </w:r>
      <w:r>
        <w:t>)</w:t>
      </w:r>
      <w:r>
        <w:t xml:space="preserve">, </w:t>
      </w:r>
      <w:r>
        <w:t>Carolina Frías</w:t>
      </w:r>
      <w:r>
        <w:t xml:space="preserve"> (</w:t>
      </w:r>
      <w:r>
        <w:rPr>
          <w:color w:val="636363"/>
          <w:sz w:val="20"/>
          <w:szCs w:val="20"/>
        </w:rPr>
        <w:t>University of Alicante</w:t>
      </w:r>
      <w:r>
        <w:t>)</w:t>
      </w:r>
      <w:r>
        <w:t xml:space="preserve">, </w:t>
      </w:r>
      <w:r>
        <w:t>Javier Muñoz</w:t>
      </w:r>
      <w:r>
        <w:t xml:space="preserve"> (</w:t>
      </w:r>
      <w:r>
        <w:rPr>
          <w:color w:val="636363"/>
          <w:sz w:val="20"/>
          <w:szCs w:val="20"/>
        </w:rPr>
        <w:t>University of Alicante</w:t>
      </w:r>
      <w:r>
        <w:t>)</w:t>
      </w:r>
      <w:r>
        <w:t xml:space="preserve">. </w:t>
      </w:r>
    </w:p>
    <w:p>
      <w:pPr>
        <w:pStyle w:val="Text"/>
      </w:pPr>
      <w:r>
        <w:t>The demolition of the Mínguez Pier in 2001 erased one of the most recognisable landmarks of Torrevieja’s maritime and industrial heritage. This paper presents a cross-platform mobile application for iOS and Android that virtually reconstructs the pier in its original historical configuration, corresponding to the late nineteenth century and the first decades of the twentieth century. The reconstruction was developed in Blender through 3D modelling, texturing and the rendering of 360° panoramic images. These images were subsequently integrated into Unity to create an interactive real-time mobile application. The system uses the device’s internal compass, gyroscope and accelerometer to align the panoramic scenes to geographic north at nine fixed Points of Interest, without relying on GNSS or mobile data. This orientation-based approach allows both on-site and remote heritage interpretation, offering a robust and accessible solution for low-connectivity environments. Scientific traceability was addressed through the Extended Matrix methodology, linking reconstructed elements to historical plans, archival documentation, period photographs and interpretative decisions. Preliminary usability testing with 50 users suggests that the application improves spatial understanding and user engagement when compared with conventional two-dimensional documentation. The proposed workflow offers a replicable, low-cost methodology for virtually reinstating disappeared or heavily transformed heritage sites.</w:t>
      </w:r>
    </w:p>
    <w:p>
      <w:pPr>
        <w:pStyle w:val="SubStyleBorder"/>
      </w:pPr>
      <w:bookmarkStart w:id="31" w:name="abs30"/>
      <w:r>
        <w:fldChar w:fldCharType="begin"/>
      </w:r>
      <w:r>
        <w:instrText xml:space="preserve">REF Index \h</w:instrText>
      </w:r>
      <w:r>
        <w:fldChar w:fldCharType="separate"/>
      </w:r>
      <w:r>
        <w:rPr>
          <w:color w:val="0000ff"/>
          <w:sz w:val="20"/>
          <w:szCs w:val="20"/>
        </w:rPr>
        <w:t>[1755]</w:t>
      </w:r>
      <w:r>
        <w:fldChar w:fldCharType="end"/>
      </w:r>
      <w:bookmarkEnd w:id="31"/>
      <w:r>
        <w:t xml:space="preserve"> </w:t>
      </w:r>
      <w:r>
        <w:rPr>
          <w:i/>
          <w:b/>
        </w:rPr>
        <w:t>Digitization and Visualization Workflow for Historical Manuscripts: The Case Study of The Bologna Torah, Scroll 2</w:t>
      </w:r>
    </w:p>
    <w:p>
      <w:pPr>
        <w:pStyle w:val="Authors"/>
      </w:pPr>
      <w:r>
        <w:t>Ashraquet Bastawrous</w:t>
      </w:r>
      <w:r>
        <w:t xml:space="preserve"> (</w:t>
      </w:r>
      <w:r>
        <w:rPr>
          <w:color w:val="636363"/>
          <w:sz w:val="20"/>
          <w:szCs w:val="20"/>
        </w:rPr>
        <w:t>Department of Civil, Chemical, Environmental and Material Engineering – DICAM, University of Bologna</w:t>
      </w:r>
      <w:r>
        <w:t>)</w:t>
      </w:r>
      <w:r>
        <w:t xml:space="preserve">, </w:t>
      </w:r>
      <w:r>
        <w:t>Anna Forte</w:t>
      </w:r>
      <w:r>
        <w:t xml:space="preserve"> (</w:t>
      </w:r>
      <w:r>
        <w:rPr>
          <w:color w:val="636363"/>
          <w:sz w:val="20"/>
          <w:szCs w:val="20"/>
        </w:rPr>
        <w:t>Department of Civil, Chemical, Environmental and Material Engineering – DICAM, University of Bologna</w:t>
      </w:r>
      <w:r>
        <w:t>)</w:t>
      </w:r>
      <w:r>
        <w:t xml:space="preserve">, </w:t>
      </w:r>
      <w:r>
        <w:t>Francesco Citti</w:t>
      </w:r>
      <w:r>
        <w:t xml:space="preserve"> (</w:t>
      </w:r>
      <w:r>
        <w:rPr>
          <w:color w:val="636363"/>
          <w:sz w:val="20"/>
          <w:szCs w:val="20"/>
        </w:rPr>
        <w:t>Bologna University Library, University of Bologna</w:t>
      </w:r>
      <w:r>
        <w:t>)</w:t>
      </w:r>
      <w:r>
        <w:t xml:space="preserve">, </w:t>
      </w:r>
      <w:r>
        <w:t>Martina Caroli</w:t>
      </w:r>
      <w:r>
        <w:t xml:space="preserve"> (</w:t>
      </w:r>
      <w:r>
        <w:rPr>
          <w:color w:val="636363"/>
          <w:sz w:val="20"/>
          <w:szCs w:val="20"/>
        </w:rPr>
        <w:t>Bologna University Library, University of Bologna</w:t>
      </w:r>
      <w:r>
        <w:t>)</w:t>
      </w:r>
      <w:r>
        <w:t xml:space="preserve">, </w:t>
      </w:r>
      <w:r>
        <w:t>Gabriele Bitelli</w:t>
      </w:r>
      <w:r>
        <w:t xml:space="preserve"> (</w:t>
      </w:r>
      <w:r>
        <w:rPr>
          <w:color w:val="636363"/>
          <w:sz w:val="20"/>
          <w:szCs w:val="20"/>
        </w:rPr>
        <w:t>Department of Civil, Chemical, Environmental and Material Engineering – DICAM, University of Bologna</w:t>
      </w:r>
      <w:r>
        <w:t>)</w:t>
      </w:r>
      <w:r>
        <w:t xml:space="preserve">. </w:t>
      </w:r>
    </w:p>
    <w:p>
      <w:pPr>
        <w:pStyle w:val="Text"/>
      </w:pPr>
      <w:r>
        <w:t>Historical manuscript digitization provides new opportunities for visitors to access and engage with collections that are often inaccessible. A new permanent exhibition space was recently inaugurated at the Bologna University Library (Biblioteca Universitaria di Bologna-BUB), featuring a digital display of the Torah, Scroll 2, the oldest known complete Sefer Torah in the world, kept at the Library. This paper presents the digitization and visualization workflow implemented for the digital display, discussing methodology and results.</w:t>
      </w:r>
    </w:p>
    <w:p>
      <w:pPr>
        <w:pStyle w:val="SubStyleBorder"/>
      </w:pPr>
      <w:bookmarkStart w:id="32" w:name="abs31"/>
      <w:r>
        <w:fldChar w:fldCharType="begin"/>
      </w:r>
      <w:r>
        <w:instrText xml:space="preserve">REF Index \h</w:instrText>
      </w:r>
      <w:r>
        <w:fldChar w:fldCharType="separate"/>
      </w:r>
      <w:r>
        <w:rPr>
          <w:color w:val="0000ff"/>
          <w:sz w:val="20"/>
          <w:szCs w:val="20"/>
        </w:rPr>
        <w:t>[1784]</w:t>
      </w:r>
      <w:r>
        <w:fldChar w:fldCharType="end"/>
      </w:r>
      <w:bookmarkEnd w:id="32"/>
      <w:r>
        <w:t xml:space="preserve"> </w:t>
      </w:r>
      <w:r>
        <w:rPr>
          <w:i/>
          <w:b/>
        </w:rPr>
        <w:t>Experimental assessment of TRM reinforcement in rammed earth walls: Influence of surface primer on interfacial bonding and shear performance</w:t>
      </w:r>
    </w:p>
    <w:p>
      <w:pPr>
        <w:pStyle w:val="Authors"/>
      </w:pPr>
      <w:r>
        <w:t>Paula Tole</w:t>
      </w:r>
      <w:r>
        <w:t xml:space="preserve"> (</w:t>
      </w:r>
      <w:r>
        <w:rPr>
          <w:color w:val="636363"/>
          <w:sz w:val="20"/>
          <w:szCs w:val="20"/>
        </w:rPr>
        <w:t>Universidad de Alicante</w:t>
      </w:r>
      <w:r>
        <w:t>)</w:t>
      </w:r>
      <w:r>
        <w:t xml:space="preserve">, </w:t>
      </w:r>
      <w:r>
        <w:t>F. Javier Baeza</w:t>
      </w:r>
      <w:r>
        <w:t xml:space="preserve"> (</w:t>
      </w:r>
      <w:r>
        <w:rPr>
          <w:color w:val="636363"/>
          <w:sz w:val="20"/>
          <w:szCs w:val="20"/>
        </w:rPr>
        <w:t>Universidad de Alicante</w:t>
      </w:r>
      <w:r>
        <w:t>)</w:t>
      </w:r>
      <w:r>
        <w:t xml:space="preserve">, </w:t>
      </w:r>
      <w:r>
        <w:t>Luis Estevan</w:t>
      </w:r>
      <w:r>
        <w:t xml:space="preserve"> (</w:t>
      </w:r>
      <w:r>
        <w:rPr>
          <w:color w:val="636363"/>
          <w:sz w:val="20"/>
          <w:szCs w:val="20"/>
        </w:rPr>
        <w:t>Universidad de Alicante</w:t>
      </w:r>
      <w:r>
        <w:t>)</w:t>
      </w:r>
      <w:r>
        <w:t xml:space="preserve">, </w:t>
      </w:r>
      <w:r>
        <w:t>Salvador Ivorra</w:t>
      </w:r>
      <w:r>
        <w:t xml:space="preserve"> (</w:t>
      </w:r>
      <w:r>
        <w:rPr>
          <w:color w:val="636363"/>
          <w:sz w:val="20"/>
          <w:szCs w:val="20"/>
        </w:rPr>
        <w:t>Universidad de Alicante</w:t>
      </w:r>
      <w:r>
        <w:t>)</w:t>
      </w:r>
      <w:r>
        <w:t xml:space="preserve">. </w:t>
      </w:r>
    </w:p>
    <w:p>
      <w:pPr>
        <w:pStyle w:val="Text"/>
      </w:pPr>
      <w:r>
        <w:t>Earthen construction demonstrates a high degree of seismic vulnerability, necessitating the implementation of external reinforcement systems such as textile-reinforced mortars (TRM). The present study utilizes a multiscale experimental campaign to evaluate the influence of a surface primer on the earth-TRM interface. At the microscale, adhesion and peel tests demonstrated that the treatment optimized bonding and mitigated premature delamination of the mortar. At the medium scale, a series of tests were conducted on walls to assess their resistance to direct and diagonal compression. Digital Image Correlation (DIC) was utilized as a non-destructive testing method to obtain quantitative data on the mechanical behavior of the materials under strain. The experimental findings demonstrate that, under shear stresses, the primer significantly increases diagonal tensile strength and shifts the fracture plane toward the interior of the substrate. This finding lends further credence to the hypothesis that surface preparation plays a pivotal role in averting premature interface failure.</w:t>
      </w:r>
    </w:p>
    <w:p>
      <w:pPr>
        <w:pStyle w:val="SubStyleBorder"/>
      </w:pPr>
      <w:bookmarkStart w:id="33" w:name="abs32"/>
      <w:r>
        <w:fldChar w:fldCharType="begin"/>
      </w:r>
      <w:r>
        <w:instrText xml:space="preserve">REF Index \h</w:instrText>
      </w:r>
      <w:r>
        <w:fldChar w:fldCharType="separate"/>
      </w:r>
      <w:r>
        <w:rPr>
          <w:color w:val="0000ff"/>
          <w:sz w:val="20"/>
          <w:szCs w:val="20"/>
        </w:rPr>
        <w:t>[1875]</w:t>
      </w:r>
      <w:r>
        <w:fldChar w:fldCharType="end"/>
      </w:r>
      <w:bookmarkEnd w:id="33"/>
      <w:r>
        <w:t xml:space="preserve"> </w:t>
      </w:r>
      <w:r>
        <w:rPr>
          <w:i/>
          <w:b/>
        </w:rPr>
        <w:t>The archaeological site of Sagalassos (Turkey): 3D resistivity anomaly probability tomography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The archaeological site of Sagalassos is a very important settlement located in a magnificent mountain landscape, 7 km north from a little village named Ağlasun (province of Burdur, SW Turkey). Since 1990 the University of Leuven (Belgium) carry out an interdisciplinary archaeological research programme that study the uninterrupted occupation of more than 1000 years in all its aspects from daily life to architecture, from trade and its mechanisms to environmental conditions of the past. The ancient roman city is a site covered under erosion layers and preserved many secrets that need to be revealed. A geophysical campaign was planned along the south facing terraces of the mountain slopes, in order to f highlighting the structure of the city still covered. Site conditions (high slope, high grass, several obstacles) and the need to investigate high depths led to the choice of the most suitable geophysical methods. Particularly a 3D distribution in the subsoil of resistivity tensor probability was esteemed.</w:t>
      </w:r>
    </w:p>
    <w:p>
      <w:pPr>
        <w:pStyle w:val="SubStyleBorder"/>
      </w:pPr>
      <w:bookmarkStart w:id="34" w:name="abs33"/>
      <w:r>
        <w:fldChar w:fldCharType="begin"/>
      </w:r>
      <w:r>
        <w:instrText xml:space="preserve">REF Index \h</w:instrText>
      </w:r>
      <w:r>
        <w:fldChar w:fldCharType="separate"/>
      </w:r>
      <w:r>
        <w:rPr>
          <w:color w:val="0000ff"/>
          <w:sz w:val="20"/>
          <w:szCs w:val="20"/>
        </w:rPr>
        <w:t>[2013]</w:t>
      </w:r>
      <w:r>
        <w:fldChar w:fldCharType="end"/>
      </w:r>
      <w:bookmarkEnd w:id="34"/>
      <w:r>
        <w:t xml:space="preserve"> </w:t>
      </w:r>
      <w:r>
        <w:rPr>
          <w:i/>
          <w:b/>
        </w:rPr>
        <w:t>Traffic Noise Intrusion in Archaeological Sites: A Literature Review</w:t>
      </w:r>
    </w:p>
    <w:p>
      <w:pPr>
        <w:pStyle w:val="Authors"/>
      </w:pPr>
      <w:r>
        <w:t>Domenico Rossi</w:t>
      </w:r>
      <w:r>
        <w:t xml:space="preserve"> (</w:t>
      </w:r>
      <w:r>
        <w:rPr>
          <w:color w:val="636363"/>
          <w:sz w:val="20"/>
          <w:szCs w:val="20"/>
        </w:rPr>
        <w:t>Università degli Studi di Salerno</w:t>
      </w:r>
      <w:r>
        <w:t>)</w:t>
      </w:r>
      <w:r>
        <w:t xml:space="preserve">, </w:t>
      </w:r>
      <w:r>
        <w:t>Claudio Guarnaccia</w:t>
      </w:r>
      <w:r>
        <w:t xml:space="preserve"> (</w:t>
      </w:r>
      <w:r>
        <w:rPr>
          <w:color w:val="636363"/>
          <w:sz w:val="20"/>
          <w:szCs w:val="20"/>
        </w:rPr>
        <w:t>Department of Civil Engineering, University of Salerno, Italy</w:t>
      </w:r>
      <w:r>
        <w:t>)</w:t>
      </w:r>
      <w:r>
        <w:t xml:space="preserve">. </w:t>
      </w:r>
    </w:p>
    <w:p>
      <w:pPr>
        <w:pStyle w:val="Text"/>
      </w:pPr>
      <w:r>
        <w:t>The presence of traffic noise is increasingly recognized as a critical issue for the preservation and enhancement of archaeological sites, particularly when these are located within urban areas. This paper examines how transportation noise affects both the physical acoustic environment and the perceived soundscape of cultural heritage locations. A review of the existing literature highlights the dominant role of road traffic in shaping visitors’ experiences, often resulting in a deterioration of perceived environmental quality even when sound levels remain moderate. On this basis, a representative case study inspired by the archaeological site of Pompeii is considered in order to explore possible modelling strategies and future mitigation approaches.</w:t>
      </w:r>
    </w:p>
    <w:p>
      <w:pPr>
        <w:pStyle w:val="SubStyleBorder"/>
      </w:pPr>
      <w:bookmarkStart w:id="35" w:name="abs34"/>
      <w:r>
        <w:fldChar w:fldCharType="begin"/>
      </w:r>
      <w:r>
        <w:instrText xml:space="preserve">REF Index \h</w:instrText>
      </w:r>
      <w:r>
        <w:fldChar w:fldCharType="separate"/>
      </w:r>
      <w:r>
        <w:rPr>
          <w:color w:val="0000ff"/>
          <w:sz w:val="20"/>
          <w:szCs w:val="20"/>
        </w:rPr>
        <w:t>[2232]</w:t>
      </w:r>
      <w:r>
        <w:fldChar w:fldCharType="end"/>
      </w:r>
      <w:bookmarkEnd w:id="35"/>
      <w:r>
        <w:t xml:space="preserve"> </w:t>
      </w:r>
      <w:r>
        <w:rPr>
          <w:i/>
          <w:b/>
        </w:rPr>
        <w:t>DIGITAL METROLOGY FOR STRUCTURAL PATHOLOGY AND INDIRECT VIRTUAL REINTEGRATION: THE CASE OF TORRE VECCHIA IN CIRÒ MARINA</w:t>
      </w:r>
    </w:p>
    <w:p>
      <w:pPr>
        <w:pStyle w:val="Authors"/>
      </w:pPr>
      <w:r>
        <w:t>Veronika Karadzhova</w:t>
      </w:r>
      <w:r>
        <w:t xml:space="preserve"> (</w:t>
      </w:r>
      <w:r>
        <w:rPr>
          <w:color w:val="636363"/>
          <w:sz w:val="20"/>
          <w:szCs w:val="20"/>
        </w:rPr>
        <w:t>Free Researcher</w:t>
      </w:r>
      <w:r>
        <w:t>)</w:t>
      </w:r>
      <w:r>
        <w:t xml:space="preserve">. </w:t>
      </w:r>
    </w:p>
    <w:p>
      <w:pPr>
        <w:pStyle w:val="Text"/>
      </w:pPr>
      <w:r>
        <w:t>This paper presents a non-invasive, indirect digital calibration methodology formulated to address on-site accessibility constraints inherent in the architectural and structural documentation of at-risk heritage assets. The primary case study examines Torre Vecchia in Cirò Marina (Italy), a sixteenth-century Viceregal watchtower that experienced a severe partial collapse in 2009 precipitated by geomorphological instability. To facilitate metric structural pathology diagnostics and execute an ethical virtual reintegration of the structural lacuna in the absence of direct physical access, a multi-scale photogrammetric approach was employed. By leveraging the adjacent, accessible Mercati Saraceni complex as an absolute metric baseline, the spatial dimensions of the isolated tower were indirectly scaled, constrained, and geometrically validated. This methodology demonstrates the efficacy of low-cost reality capture workflows in achieving peer-review-grade metric precision, thereby facilitating structural risk monitoring and urban cultural integratio</w:t>
      </w:r>
    </w:p>
    <w:p>
      <w:pPr>
        <w:pStyle w:val="SubStyleBorder"/>
      </w:pPr>
      <w:bookmarkStart w:id="36" w:name="abs35"/>
      <w:r>
        <w:fldChar w:fldCharType="begin"/>
      </w:r>
      <w:r>
        <w:instrText xml:space="preserve">REF Index \h</w:instrText>
      </w:r>
      <w:r>
        <w:fldChar w:fldCharType="separate"/>
      </w:r>
      <w:r>
        <w:rPr>
          <w:color w:val="0000ff"/>
          <w:sz w:val="20"/>
          <w:szCs w:val="20"/>
        </w:rPr>
        <w:t>[2334]</w:t>
      </w:r>
      <w:r>
        <w:fldChar w:fldCharType="end"/>
      </w:r>
      <w:bookmarkEnd w:id="36"/>
      <w:r>
        <w:t xml:space="preserve"> </w:t>
      </w:r>
      <w:r>
        <w:rPr>
          <w:i/>
          <w:b/>
        </w:rPr>
        <w:t>Integrated Magnetic and Electromagnetic Survey of the Pianabella Basilica Ruins (Ostia, Italy): Archaeological Insights and New Magnetometer Prototype Assessment</w:t>
      </w:r>
    </w:p>
    <w:p>
      <w:pPr>
        <w:pStyle w:val="Authors"/>
      </w:pPr>
      <w:r>
        <w:t>Filippo Accomando</w:t>
      </w:r>
      <w:r>
        <w:t xml:space="preserve"> (</w:t>
      </w:r>
      <w:r>
        <w:rPr>
          <w:color w:val="636363"/>
          <w:sz w:val="20"/>
          <w:szCs w:val="20"/>
        </w:rPr>
        <w:t>Istituto per il Rilevamento Elettromagnetico dell’Ambiente (IREA)—Consiglio Nazionale delle Ricerche (CNR)</w:t>
      </w:r>
      <w:r>
        <w:t>)</w:t>
      </w:r>
      <w:r>
        <w:t xml:space="preserve">, </w:t>
      </w:r>
      <w:r>
        <w:t>Andrea Barone</w:t>
      </w:r>
      <w:r>
        <w:t xml:space="preserve"> (</w:t>
      </w:r>
      <w:r>
        <w:rPr>
          <w:color w:val="636363"/>
          <w:sz w:val="20"/>
          <w:szCs w:val="20"/>
        </w:rPr>
        <w:t>Istituto per il Rilevamento Elettromagnetico dell’Ambiente (IREA)—Consiglio Nazionale delle Ricerche (CNR)</w:t>
      </w:r>
      <w:r>
        <w:t>)</w:t>
      </w:r>
      <w:r>
        <w:t xml:space="preserve">, </w:t>
      </w:r>
      <w:r>
        <w:t>Nicola Francesco Catalano</w:t>
      </w:r>
      <w:r>
        <w:t xml:space="preserve"> (</w:t>
      </w:r>
      <w:r>
        <w:rPr>
          <w:color w:val="636363"/>
          <w:sz w:val="20"/>
          <w:szCs w:val="20"/>
        </w:rPr>
        <w:t>Codevintec Italiana Srl</w:t>
      </w:r>
      <w:r>
        <w:t>)</w:t>
      </w:r>
      <w:r>
        <w:t xml:space="preserve">, </w:t>
      </w:r>
      <w:r>
        <w:t>Dario Daffara</w:t>
      </w:r>
      <w:r>
        <w:t xml:space="preserve"> (</w:t>
      </w:r>
      <w:r>
        <w:rPr>
          <w:color w:val="636363"/>
          <w:sz w:val="20"/>
          <w:szCs w:val="20"/>
        </w:rPr>
        <w:t>Parco Archeologico di Ostia Antica (MIC)</w:t>
      </w:r>
      <w:r>
        <w:t>)</w:t>
      </w:r>
      <w:r>
        <w:t xml:space="preserve">, </w:t>
      </w:r>
      <w:r>
        <w:t>Francesco Ferraiuolo</w:t>
      </w:r>
      <w:r>
        <w:t xml:space="preserve"> (</w:t>
      </w:r>
      <w:r>
        <w:rPr>
          <w:color w:val="636363"/>
          <w:sz w:val="20"/>
          <w:szCs w:val="20"/>
        </w:rPr>
        <w:t>Codevintec Italiana srl</w:t>
      </w:r>
      <w:r>
        <w:t>)</w:t>
      </w:r>
      <w:r>
        <w:t xml:space="preserve">, </w:t>
      </w:r>
      <w:r>
        <w:t>Pietro Tizzani</w:t>
      </w:r>
      <w:r>
        <w:t xml:space="preserve"> (</w:t>
      </w:r>
      <w:r>
        <w:rPr>
          <w:color w:val="636363"/>
          <w:sz w:val="20"/>
          <w:szCs w:val="20"/>
        </w:rPr>
        <w:t>Istituto per il Rilevamento Elettromagnetico dell’Ambiente (IREA)—Consiglio Nazionale delle Ricerche (CNR)</w:t>
      </w:r>
      <w:r>
        <w:t>)</w:t>
      </w:r>
      <w:r>
        <w:t xml:space="preserve">, </w:t>
      </w:r>
      <w:r>
        <w:t>Raffaele Castaldo</w:t>
      </w:r>
      <w:r>
        <w:t xml:space="preserve"> (</w:t>
      </w:r>
      <w:r>
        <w:rPr>
          <w:color w:val="636363"/>
          <w:sz w:val="20"/>
          <w:szCs w:val="20"/>
        </w:rPr>
        <w:t>Istituto per il Rilevamento Elettromagnetico dell’Ambiente (IREA)—Consiglio Nazionale delle Ricerche (CNR)</w:t>
      </w:r>
      <w:r>
        <w:t>)</w:t>
      </w:r>
      <w:r>
        <w:t xml:space="preserve">. </w:t>
      </w:r>
    </w:p>
    <w:p>
      <w:pPr>
        <w:pStyle w:val="Text"/>
      </w:pPr>
      <w:r>
        <w:t>This study presents an integrated magnetic and electromagnetic induction (EMI) survey of the Pianabella Basilica archaeological site (Ostia, Italy), combining high-resolution magnetic gradient measurements with EMI mapping. Magnetic data were acquired using the Geometrics MagEx system, a prototype based on Micro-Fabricated Atomic Magnetometer (MFAM) technology, marking its first field deployment in archaeological prospection. EMI measurements collected with a CMD-Mini Explorer provided apparent conductivity and in-phase data at multiple investigation depths. The magnetic gradient map successfully delineated the Basilica plan, identifying masonry remains, funerary structures, and a significant anomaly interpreted as a Roman road leading toward Porta Laurentina. EMI results corroborated these findings through conductivity and magnetic susceptibility contrasts. Despite strong environmental noise from nearby railway infrastructure and metallic fences, the integrated approach proved effective for archaeological mapping and demonstrated the potential of next-generation magnetic gradiometry for cultural heritage investigations.</w:t>
      </w:r>
    </w:p>
    <w:p>
      <w:pPr>
        <w:pStyle w:val="SubStyleBorder"/>
      </w:pPr>
      <w:bookmarkStart w:id="37" w:name="abs36"/>
      <w:r>
        <w:fldChar w:fldCharType="begin"/>
      </w:r>
      <w:r>
        <w:instrText xml:space="preserve">REF Index \h</w:instrText>
      </w:r>
      <w:r>
        <w:fldChar w:fldCharType="separate"/>
      </w:r>
      <w:r>
        <w:rPr>
          <w:color w:val="0000ff"/>
          <w:sz w:val="20"/>
          <w:szCs w:val="20"/>
        </w:rPr>
        <w:t>[2335]</w:t>
      </w:r>
      <w:r>
        <w:fldChar w:fldCharType="end"/>
      </w:r>
      <w:bookmarkEnd w:id="37"/>
      <w:r>
        <w:t xml:space="preserve"> </w:t>
      </w:r>
      <w:r>
        <w:rPr>
          <w:i/>
          <w:b/>
        </w:rPr>
        <w:t>GIS for monitoring the architectural heritage of the province of Matera (Basilicata, Italy)</w:t>
      </w:r>
    </w:p>
    <w:p>
      <w:pPr>
        <w:pStyle w:val="Authors"/>
      </w:pPr>
      <w:r>
        <w:t>Maurizio Delli Santi</w:t>
      </w:r>
      <w:r>
        <w:t xml:space="preserve"> (</w:t>
      </w:r>
      <w:r>
        <w:rPr>
          <w:color w:val="636363"/>
          <w:sz w:val="20"/>
          <w:szCs w:val="20"/>
        </w:rPr>
        <w:t>CNR - ISPC</w:t>
      </w:r>
      <w:r>
        <w:t>)</w:t>
      </w:r>
      <w:r>
        <w:t xml:space="preserve">. </w:t>
      </w:r>
    </w:p>
    <w:p>
      <w:pPr>
        <w:pStyle w:val="Text"/>
      </w:pPr>
      <w:r>
        <w:t>Created as technical land management tools, GIS currently constitute one of the most strategic assets for the multidisciplinary "reading" of cultural heritage. Indeed, GIS is increasingly being applied to the conservation of existing built heritage, particularly historical monuments, with a gradual abandonment of the urban scale in favor of different graphical and computer-based representations, which even extend to architectural artifacts. This work is part of the research project "Land Protection and Conservation of Cultural Heritage in Basilicata in Relation to Landscape Evolution and Geomorphological Risk Factors," which the ISPC-CNR is conducting in Basilicata (Figure 1). For this work, municipalities in the province of Matera were selected, characterized by considerable historical, architectural, and archaeological value, and potentially exposed to natural geological risks, such as seismic and hydrogeological risks. The province's entire architectural heritage will be surveyed and cataloged, and subsequently integrated into a GIS-based geodatabase (Figure 2), specifically structured according to the criteria outlined in ICCD Form "A." New fields have been added to this form to assess seismic and hydrogeological hazards. The project's ultimate goal is to develop a "Risk Map" of Basilicata's architectural heritage, providing a vital basis for planning protection and conservation interventions for cultural heritage exposed to natural hazards.</w:t>
      </w:r>
    </w:p>
    <w:p>
      <w:pPr>
        <w:pStyle w:val="SubStyleBorder"/>
      </w:pPr>
      <w:bookmarkStart w:id="38" w:name="abs37"/>
      <w:r>
        <w:fldChar w:fldCharType="begin"/>
      </w:r>
      <w:r>
        <w:instrText xml:space="preserve">REF Index \h</w:instrText>
      </w:r>
      <w:r>
        <w:fldChar w:fldCharType="separate"/>
      </w:r>
      <w:r>
        <w:rPr>
          <w:color w:val="0000ff"/>
          <w:sz w:val="20"/>
          <w:szCs w:val="20"/>
        </w:rPr>
        <w:t>[2341]</w:t>
      </w:r>
      <w:r>
        <w:fldChar w:fldCharType="end"/>
      </w:r>
      <w:bookmarkEnd w:id="38"/>
      <w:r>
        <w:t xml:space="preserve"> </w:t>
      </w:r>
      <w:r>
        <w:rPr>
          <w:i/>
          <w:b/>
        </w:rPr>
        <w:t>Conservation issues of the medieval Gubbio Town Walls: a synthesis of mortar characterization and mechanical assessment data</w:t>
      </w:r>
    </w:p>
    <w:p>
      <w:pPr>
        <w:pStyle w:val="Authors"/>
      </w:pPr>
      <w:r>
        <w:t>Giuseppina Padeletti</w:t>
      </w:r>
      <w:r>
        <w:t xml:space="preserve"> (</w:t>
      </w:r>
      <w:r>
        <w:rPr>
          <w:color w:val="636363"/>
          <w:sz w:val="20"/>
          <w:szCs w:val="20"/>
        </w:rPr>
        <w:t>CNR-ISMN, 00010 Montelibretti, Rome (Italy)</w:t>
      </w:r>
      <w:r>
        <w:t>)</w:t>
      </w:r>
      <w:r>
        <w:t xml:space="preserve">, </w:t>
      </w:r>
      <w:r>
        <w:t>Joao Pedro Vega</w:t>
      </w:r>
      <w:r>
        <w:t xml:space="preserve"> (</w:t>
      </w:r>
      <w:r>
        <w:rPr>
          <w:color w:val="636363"/>
          <w:sz w:val="20"/>
          <w:szCs w:val="20"/>
        </w:rPr>
        <w:t>Centro de Investigação em Materiais, Dep. Conservação Restauro, NOVA FCT, Caparica, Portugal</w:t>
      </w:r>
      <w:r>
        <w:t>)</w:t>
      </w:r>
      <w:r>
        <w:t xml:space="preserve">. </w:t>
      </w:r>
    </w:p>
    <w:p>
      <w:pPr>
        <w:pStyle w:val="Text"/>
      </w:pPr>
      <w:r>
        <w:t>Good conservation practices of cultural heritage assets relay on the knowledge of the original materials. The present study is dealing with the effect of climate change and natural hazards on built heritage, and the results presented concern the medieval Town Walls of Gubbio, in Italy. The study was devoted to assess the chemical composition of the mortar and its mechanical properties to understand how to improve their performances and resistance to degradation.</w:t>
      </w:r>
    </w:p>
    <w:p>
      <w:pPr>
        <w:pStyle w:val="SubStyleBorder"/>
      </w:pPr>
      <w:bookmarkStart w:id="39" w:name="abs38"/>
      <w:r>
        <w:fldChar w:fldCharType="begin"/>
      </w:r>
      <w:r>
        <w:instrText xml:space="preserve">REF Index \h</w:instrText>
      </w:r>
      <w:r>
        <w:fldChar w:fldCharType="separate"/>
      </w:r>
      <w:r>
        <w:rPr>
          <w:color w:val="0000ff"/>
          <w:sz w:val="20"/>
          <w:szCs w:val="20"/>
        </w:rPr>
        <w:t>[2475]</w:t>
      </w:r>
      <w:r>
        <w:fldChar w:fldCharType="end"/>
      </w:r>
      <w:bookmarkEnd w:id="39"/>
      <w:r>
        <w:t xml:space="preserve"> </w:t>
      </w:r>
      <w:r>
        <w:rPr>
          <w:i/>
          <w:b/>
        </w:rPr>
        <w:t>Split Ring Resonator-Based Microwave Probe for Non-Destructive Moisture Detection in Cultural Heritage Materials</w:t>
      </w:r>
    </w:p>
    <w:p>
      <w:pPr>
        <w:pStyle w:val="Authors"/>
      </w:pPr>
      <w:r>
        <w:t>Marialourdes Ingroso</w:t>
      </w:r>
      <w:r>
        <w:t xml:space="preserve"> (</w:t>
      </w:r>
      <w:r>
        <w:rPr>
          <w:color w:val="636363"/>
          <w:sz w:val="20"/>
          <w:szCs w:val="20"/>
        </w:rPr>
        <w:t>Sapienza university</w:t>
      </w:r>
      <w:r>
        <w:t>)</w:t>
      </w:r>
      <w:r>
        <w:t xml:space="preserve">, </w:t>
      </w:r>
      <w:r>
        <w:t>Livio D'Alvia</w:t>
      </w:r>
      <w:r>
        <w:t xml:space="preserve"> (</w:t>
      </w:r>
      <w:r>
        <w:rPr>
          <w:color w:val="636363"/>
          <w:sz w:val="20"/>
          <w:szCs w:val="20"/>
        </w:rPr>
        <w:t>Sapienza university</w:t>
      </w:r>
      <w:r>
        <w:t>)</w:t>
      </w:r>
      <w:r>
        <w:t xml:space="preserve">, </w:t>
      </w:r>
      <w:r>
        <w:t>Emanuele Rizzuto</w:t>
      </w:r>
      <w:r>
        <w:t xml:space="preserve"> (</w:t>
      </w:r>
      <w:r>
        <w:rPr>
          <w:color w:val="636363"/>
          <w:sz w:val="20"/>
          <w:szCs w:val="20"/>
        </w:rPr>
        <w:t>La Sapienza University of Rome- DIMA</w:t>
      </w:r>
      <w:r>
        <w:t>)</w:t>
      </w:r>
      <w:r>
        <w:t xml:space="preserve">, </w:t>
      </w:r>
      <w:r>
        <w:t>Zaccaria Del Prete</w:t>
      </w:r>
      <w:r>
        <w:t xml:space="preserve"> (</w:t>
      </w:r>
      <w:r>
        <w:rPr>
          <w:color w:val="636363"/>
          <w:sz w:val="20"/>
          <w:szCs w:val="20"/>
        </w:rPr>
        <w:t>La Sapienza University of Rome- DIMA</w:t>
      </w:r>
      <w:r>
        <w:t>)</w:t>
      </w:r>
      <w:r>
        <w:t xml:space="preserve">. </w:t>
      </w:r>
    </w:p>
    <w:p>
      <w:pPr>
        <w:pStyle w:val="Text"/>
      </w:pPr>
      <w:r>
        <w:t>This work presents the design and optimization of a microwave non-destructive testing (NDT) probe based on a Split Ring Resonator (SRR), specifically tailored for moisture detection in cultural heritage materials. To achieve high sensitivity and accurate characterization, extensive electromagnetic simulations were performed using CST Studio Suite. The research initially focused on the geometric optimization of the SRR probe to maximize its fundamental resonance parameters. Subsequently, a parametric study was conducted to evaluate the interaction between the probe and the Material Under Test (MUT). Particular attention was dedicated to identifying the optimal lift-off distance between the sensor and the MUT surface, aimed at preserving a high Quality factor (Q-factor) while ensuring effective near-field coupling. Finally, the sensitivity of the optimized probe was assessed by varying the relative permittivity (\varepsilon_r) of the MUT, simulating different moisture content levels embedded in porous heritage substrates like historic brick or mortar. The simulation results demonstrate a sharp, predictable shift in the resonance frequency alongside a modulation of the Q-factor as the material's dielectric properties change. This numerical validation confirms that the proposed SRR probe offers a highly sensitive, contactless, and entirely non-invasive solution for real-time moisture monitoring, mitigating the risk of superficial damage to fragile historical artifacts.</w:t>
      </w:r>
    </w:p>
    <w:p>
      <w:pPr>
        <w:pStyle w:val="SubStyleBorder"/>
      </w:pPr>
      <w:bookmarkStart w:id="40" w:name="abs39"/>
      <w:r>
        <w:fldChar w:fldCharType="begin"/>
      </w:r>
      <w:r>
        <w:instrText xml:space="preserve">REF Index \h</w:instrText>
      </w:r>
      <w:r>
        <w:fldChar w:fldCharType="separate"/>
      </w:r>
      <w:r>
        <w:rPr>
          <w:color w:val="0000ff"/>
          <w:sz w:val="20"/>
          <w:szCs w:val="20"/>
        </w:rPr>
        <w:t>[2504]</w:t>
      </w:r>
      <w:r>
        <w:fldChar w:fldCharType="end"/>
      </w:r>
      <w:bookmarkEnd w:id="40"/>
      <w:r>
        <w:t xml:space="preserve"> </w:t>
      </w:r>
      <w:r>
        <w:rPr>
          <w:i/>
          <w:b/>
        </w:rPr>
        <w:t>From Individual Artifacts to Collection-Based Conservation: An Integrated Workflow for the Assessment and Conservation Planning of Heterogeneous Archival Seal Collections</w:t>
      </w:r>
    </w:p>
    <w:p>
      <w:pPr>
        <w:pStyle w:val="Authors"/>
      </w:pPr>
      <w:r>
        <w:t>Andrea Busto</w:t>
      </w:r>
      <w:r>
        <w:t xml:space="preserve"> (</w:t>
      </w:r>
      <w:r>
        <w:rPr>
          <w:color w:val="636363"/>
          <w:sz w:val="20"/>
          <w:szCs w:val="20"/>
        </w:rPr>
        <w:t>Tor Vergata University of Rome</w:t>
      </w:r>
      <w:r>
        <w:t>)</w:t>
      </w:r>
      <w:r>
        <w:t xml:space="preserve">. </w:t>
      </w:r>
    </w:p>
    <w:p>
      <w:pPr>
        <w:pStyle w:val="Text"/>
      </w:pPr>
      <w:r>
        <w:t>Medieval seal collections present complex conservation challenges due to their material diversity, varied preservation histories, and often-fragmentary cataloging records. Intervention strategies are generally developed by material groups. As a result, wax and lead seals are frequently studied and treated separately, reflecting their different material
properties and deterioration mechanisms. This paper proposes a methodological workflow for assessing and planning the conservation of heterogeneous archival seal collections, using the detached seal collection of the State Archives of Rome as a case study. The collection comprises 130 wax and lead seals exhibiting diverse forms of deterioration, prior restoration interventions, and various suspension and storage systems. By integrating archival research, inventory revision, cataloging, diagnostic documentation, and deterioration assessment, the study develops a decision-making model supporting the identification of conservation priorities and the creation of homogeneous intervention groups. The proposed approach demonstrates how collection-based assessment can provide a sustainable framework for conservation planning in resource-limited archival contexts.</w:t>
      </w:r>
    </w:p>
    <w:p>
      <w:pPr>
        <w:pStyle w:val="SubStyleBorder"/>
      </w:pPr>
      <w:bookmarkStart w:id="41" w:name="abs40"/>
      <w:r>
        <w:fldChar w:fldCharType="begin"/>
      </w:r>
      <w:r>
        <w:instrText xml:space="preserve">REF Index \h</w:instrText>
      </w:r>
      <w:r>
        <w:fldChar w:fldCharType="separate"/>
      </w:r>
      <w:r>
        <w:rPr>
          <w:color w:val="0000ff"/>
          <w:sz w:val="20"/>
          <w:szCs w:val="20"/>
        </w:rPr>
        <w:t>[2554]</w:t>
      </w:r>
      <w:r>
        <w:fldChar w:fldCharType="end"/>
      </w:r>
      <w:bookmarkEnd w:id="41"/>
      <w:r>
        <w:t xml:space="preserve"> </w:t>
      </w:r>
      <w:r>
        <w:rPr>
          <w:i/>
          <w:b/>
        </w:rPr>
        <w:t>GPR survey at the Aragonese Castle of Taranto (Italy)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The Aragonese Castle is located in the southwesternmost part of the inland corresponding to the acropoli of Taranto during the Magna Grecia period. It is at the top of a calcarenitic body ascribed to the Last Interglacial time (MIS 5). Its building was completed in 1492 but there aren’t indications about an official beginning; some architectonic particulars, including the structure of the church inside, seem indicate that the building started during the X/XII century. Calcarenitc ashlars present in the wall have size characteristic of the Magna Grecia/roman time; therefore, it is possible that parts of present fortification were build up the Magna Grecia/roman one or, at least, reworking their parts. The present structure of the castle is result of different phases, not yet well documented, of improving and reutilization occurred during their five century of live.
The channel that separate the past acropolis from the centre of Taranto was cut at the end of XIX century, in occasion of the realisation in this city of the biggest base of Italian fleet; however, old documents indicate that in this area a small valley could limited the acropolis from the outside. Goals of present work are: I - to individuate the original topography of the natural environment; II – to individuate past structures at present covered by new ones or by sediments. The preliminary results are encouraging and pointed out the presence of different structures that could be of archaeological interest.</w:t>
      </w:r>
    </w:p>
    <w:p>
      <w:pPr>
        <w:pStyle w:val="SubStyleBorder"/>
      </w:pPr>
      <w:bookmarkStart w:id="42" w:name="abs41"/>
      <w:r>
        <w:fldChar w:fldCharType="begin"/>
      </w:r>
      <w:r>
        <w:instrText xml:space="preserve">REF Index \h</w:instrText>
      </w:r>
      <w:r>
        <w:fldChar w:fldCharType="separate"/>
      </w:r>
      <w:r>
        <w:rPr>
          <w:color w:val="0000ff"/>
          <w:sz w:val="20"/>
          <w:szCs w:val="20"/>
        </w:rPr>
        <w:t>[2859]</w:t>
      </w:r>
      <w:r>
        <w:fldChar w:fldCharType="end"/>
      </w:r>
      <w:bookmarkEnd w:id="42"/>
      <w:r>
        <w:t xml:space="preserve"> </w:t>
      </w:r>
      <w:r>
        <w:rPr>
          <w:i/>
          <w:b/>
        </w:rPr>
        <w:t>Semantic Immersive Documentation of Minor Architectural Heritage: A Virtual Tour for the Stone Portals</w:t>
      </w:r>
    </w:p>
    <w:p>
      <w:pPr>
        <w:pStyle w:val="Authors"/>
      </w:pPr>
      <w:r>
        <w:t>Francesco Colace</w:t>
      </w:r>
      <w:r>
        <w:t xml:space="preserve"> (</w:t>
      </w:r>
      <w:r>
        <w:rPr>
          <w:color w:val="636363"/>
          <w:sz w:val="20"/>
          <w:szCs w:val="20"/>
        </w:rPr>
        <w:t>Università degli studi di Salerno</w:t>
      </w:r>
      <w:r>
        <w:t>)</w:t>
      </w:r>
      <w:r>
        <w:t xml:space="preserve">, </w:t>
      </w:r>
      <w:r>
        <w:t>Constanza Fiorella Duarte Petti</w:t>
      </w:r>
      <w:r>
        <w:t xml:space="preserve"> (</w:t>
      </w:r>
      <w:r>
        <w:rPr>
          <w:color w:val="636363"/>
          <w:sz w:val="20"/>
          <w:szCs w:val="20"/>
        </w:rPr>
        <w:t>Università degli Studi di Salerno</w:t>
      </w:r>
      <w:r>
        <w:t>)</w:t>
      </w:r>
      <w:r>
        <w:t xml:space="preserve">, </w:t>
      </w:r>
      <w:r>
        <w:t>Angelo Lorusso</w:t>
      </w:r>
      <w:r>
        <w:t xml:space="preserve"> (</w:t>
      </w:r>
      <w:r>
        <w:rPr>
          <w:color w:val="636363"/>
          <w:sz w:val="20"/>
          <w:szCs w:val="20"/>
        </w:rPr>
        <w:t>Pegaso University</w:t>
      </w:r>
      <w:r>
        <w:t>)</w:t>
      </w:r>
      <w:r>
        <w:t xml:space="preserve">, </w:t>
      </w:r>
      <w:r>
        <w:t>Michele Pellegrino</w:t>
      </w:r>
      <w:r>
        <w:t xml:space="preserve"> (</w:t>
      </w:r>
      <w:r>
        <w:rPr>
          <w:color w:val="636363"/>
          <w:sz w:val="20"/>
          <w:szCs w:val="20"/>
        </w:rPr>
        <w:t>Università degli Studi di Salerno</w:t>
      </w:r>
      <w:r>
        <w:t>)</w:t>
      </w:r>
      <w:r>
        <w:t xml:space="preserve">, </w:t>
      </w:r>
      <w:r>
        <w:t>Domenico Santaniello</w:t>
      </w:r>
      <w:r>
        <w:t xml:space="preserve"> (</w:t>
      </w:r>
      <w:r>
        <w:rPr>
          <w:color w:val="636363"/>
          <w:sz w:val="20"/>
          <w:szCs w:val="20"/>
        </w:rPr>
        <w:t>University of Salerno</w:t>
      </w:r>
      <w:r>
        <w:t>)</w:t>
      </w:r>
      <w:r>
        <w:t xml:space="preserve">, </w:t>
      </w:r>
      <w:r>
        <w:t>Giusy Strollo</w:t>
      </w:r>
      <w:r>
        <w:t xml:space="preserve"> (</w:t>
      </w:r>
      <w:r>
        <w:rPr>
          <w:color w:val="636363"/>
          <w:sz w:val="20"/>
          <w:szCs w:val="20"/>
        </w:rPr>
        <w:t>University of Salerno</w:t>
      </w:r>
      <w:r>
        <w:t>)</w:t>
      </w:r>
      <w:r>
        <w:t xml:space="preserve">. </w:t>
      </w:r>
    </w:p>
    <w:p>
      <w:pPr>
        <w:pStyle w:val="Text"/>
      </w:pPr>
      <w:r>
        <w:t>The digital transformation of cultural heritage has progressively increased the significance of immersive technologies. Early virtual environments primarily focused on replicating places or objects with high visual fidelity. Contemporary approaches, however, conceptualise XR systems as operational environments that integrate spatial data, historical sources, interpretative content, metadata, and user interaction. This shift is especially pertinent for architectural heritage, where cultural value depends not only on visual perception but also on understanding spatial structure, material characteristics, historical stratification, and documented sources [1].
Within this context, small historic centres constitute a significant area for investigation. These villages often possess substantial architectural heritage but typically lack advanced digital infrastructure. Their cultural assets are dispersed throughout the urban landscape and may be difficult to access due to morphological, infrastructural, or economic limitations. Features such as narrow alleyways, steep slopes, stairways, and irregular walkways can impede physical access, particularly for individuals with reduced mobility. Furthermore, low visitor numbers may diminish public awareness and hinder the implementation of conservation and enhancement initiatives [2].</w:t>
      </w:r>
    </w:p>
    <w:p>
      <w:pPr>
        <w:pStyle w:val="SubStyleBorder"/>
      </w:pPr>
      <w:bookmarkStart w:id="43" w:name="abs42"/>
      <w:r>
        <w:fldChar w:fldCharType="begin"/>
      </w:r>
      <w:r>
        <w:instrText xml:space="preserve">REF Index \h</w:instrText>
      </w:r>
      <w:r>
        <w:fldChar w:fldCharType="separate"/>
      </w:r>
      <w:r>
        <w:rPr>
          <w:color w:val="0000ff"/>
          <w:sz w:val="20"/>
          <w:szCs w:val="20"/>
        </w:rPr>
        <w:t>[2971]</w:t>
      </w:r>
      <w:r>
        <w:fldChar w:fldCharType="end"/>
      </w:r>
      <w:bookmarkEnd w:id="43"/>
      <w:r>
        <w:t xml:space="preserve"> </w:t>
      </w:r>
      <w:r>
        <w:rPr>
          <w:i/>
          <w:b/>
        </w:rPr>
        <w:t>Predicting Archaeological Sites in the Eastern Gobi Desert Using Multimodal Machine Learning</w:t>
      </w:r>
    </w:p>
    <w:p>
      <w:pPr>
        <w:pStyle w:val="Authors"/>
      </w:pPr>
      <w:r>
        <w:t>Matthew Neissen</w:t>
      </w:r>
      <w:r>
        <w:t xml:space="preserve"> (</w:t>
      </w:r>
      <w:r>
        <w:rPr>
          <w:color w:val="636363"/>
          <w:sz w:val="20"/>
          <w:szCs w:val="20"/>
        </w:rPr>
        <w:t>Yale University</w:t>
      </w:r>
      <w:r>
        <w:t>)</w:t>
      </w:r>
      <w:r>
        <w:t xml:space="preserve">, </w:t>
      </w:r>
      <w:r>
        <w:t>Sohee Park</w:t>
      </w:r>
      <w:r>
        <w:t xml:space="preserve"> (</w:t>
      </w:r>
      <w:r>
        <w:rPr>
          <w:color w:val="636363"/>
          <w:sz w:val="20"/>
          <w:szCs w:val="20"/>
        </w:rPr>
        <w:t>Yale University</w:t>
      </w:r>
      <w:r>
        <w:t>)</w:t>
      </w:r>
      <w:r>
        <w:t xml:space="preserve">. </w:t>
      </w:r>
    </w:p>
    <w:p>
      <w:pPr>
        <w:pStyle w:val="Text"/>
      </w:pPr>
      <w:r>
        <w:t>Archaeological field surveys are expensive and time-intensive. After years of visits, the Honeychurch Lab at Yale University has explored only ∼3% of their area of interest in the Eastern Gobi Desert of Mongolia, which covers nearly 7,740 sq km. This paper develops a multimodal machine learning approach to improve the Honeychurch Lab’s survey efficiency by predicting the likely presence of Bronze and Iron Age archaeological sites across the region. The model fuses three complementary measurement modalities – geographic information system (GIS) terrain and cultural variables, block-relative Sentinel-2 spectral anomalies, and graph-based spatial propagation features – through a four-model gradient-boosted tree ensemble. On spatially held-out test blocks, the ensemble achieves a precision-recall area under the curve (PR-AUC) of 0.329 against a 0.050 random baseline, with 64.5 % precision in the top 1 % of ranked cells, equivalent to a 13× reduction in expected survey effort. The resulting probability surface over the full 704×704 grid is intended to directly inform survey planning for future lab expeditions.</w:t>
      </w:r>
    </w:p>
    <w:p>
      <w:pPr>
        <w:pStyle w:val="SubStyleBorder"/>
      </w:pPr>
      <w:bookmarkStart w:id="44" w:name="abs43"/>
      <w:r>
        <w:fldChar w:fldCharType="begin"/>
      </w:r>
      <w:r>
        <w:instrText xml:space="preserve">REF Index \h</w:instrText>
      </w:r>
      <w:r>
        <w:fldChar w:fldCharType="separate"/>
      </w:r>
      <w:r>
        <w:rPr>
          <w:color w:val="0000ff"/>
          <w:sz w:val="20"/>
          <w:szCs w:val="20"/>
        </w:rPr>
        <w:t>[3155]</w:t>
      </w:r>
      <w:r>
        <w:fldChar w:fldCharType="end"/>
      </w:r>
      <w:bookmarkEnd w:id="44"/>
      <w:r>
        <w:t xml:space="preserve"> </w:t>
      </w:r>
      <w:r>
        <w:rPr>
          <w:i/>
          <w:b/>
        </w:rPr>
        <w:t>Metrological Comparison of Short-Term and Permanent Vibration Monitoring at the Pompeii Forum Baths</w:t>
      </w:r>
    </w:p>
    <w:p>
      <w:pPr>
        <w:pStyle w:val="Authors"/>
      </w:pPr>
      <w:r>
        <w:t>Armando La Scala</w:t>
      </w:r>
      <w:r>
        <w:t xml:space="preserve"> (</w:t>
      </w:r>
      <w:r>
        <w:rPr>
          <w:color w:val="636363"/>
          <w:sz w:val="20"/>
          <w:szCs w:val="20"/>
        </w:rPr>
        <w:t>Polytechnic University of Bari</w:t>
      </w:r>
      <w:r>
        <w:t>)</w:t>
      </w:r>
      <w:r>
        <w:t xml:space="preserve">, </w:t>
      </w:r>
      <w:r>
        <w:t>Maria Francesca Sabbà</w:t>
      </w:r>
      <w:r>
        <w:t xml:space="preserve"> (</w:t>
      </w:r>
      <w:r>
        <w:rPr>
          <w:color w:val="636363"/>
          <w:sz w:val="20"/>
          <w:szCs w:val="20"/>
        </w:rPr>
        <w:t>Polytechnic University of Bari</w:t>
      </w:r>
      <w:r>
        <w:t>)</w:t>
      </w:r>
      <w:r>
        <w:t xml:space="preserve">, </w:t>
      </w:r>
      <w:r>
        <w:t>Laura Fabbiano</w:t>
      </w:r>
      <w:r>
        <w:t xml:space="preserve"> (</w:t>
      </w:r>
      <w:r>
        <w:rPr>
          <w:color w:val="636363"/>
          <w:sz w:val="20"/>
          <w:szCs w:val="20"/>
        </w:rPr>
        <w:t>Polytechnic University of Bari</w:t>
      </w:r>
      <w:r>
        <w:t>)</w:t>
      </w:r>
      <w:r>
        <w:t xml:space="preserve">, </w:t>
      </w:r>
      <w:r>
        <w:t>Nicola Ivan Giannoccaro</w:t>
      </w:r>
      <w:r>
        <w:t xml:space="preserve"> (</w:t>
      </w:r>
      <w:r>
        <w:rPr>
          <w:color w:val="636363"/>
          <w:sz w:val="20"/>
          <w:szCs w:val="20"/>
        </w:rPr>
        <w:t>University of Salento</w:t>
      </w:r>
      <w:r>
        <w:t>)</w:t>
      </w:r>
      <w:r>
        <w:t xml:space="preserve">, </w:t>
      </w:r>
      <w:r>
        <w:t>Dora Foti</w:t>
      </w:r>
      <w:r>
        <w:t xml:space="preserve"> (</w:t>
      </w:r>
      <w:r>
        <w:rPr>
          <w:color w:val="636363"/>
          <w:sz w:val="20"/>
          <w:szCs w:val="20"/>
        </w:rPr>
        <w:t>Polytechnic University of Bari</w:t>
      </w:r>
      <w:r>
        <w:t>)</w:t>
      </w:r>
      <w:r>
        <w:t xml:space="preserve">. </w:t>
      </w:r>
    </w:p>
    <w:p>
      <w:pPr>
        <w:pStyle w:val="Text"/>
      </w:pPr>
      <w:r>
        <w:t>This paper presents a metrological comparison between two vibration measurement chains applied to the same heritage structure: a short-term reference campaign conducted with research-grade instrumentation and a permanent low-cost system based on MEMS accelerometers, both deployed on the radiant walls of the Forum Women's Thermal Baths at Pompeii, a UNESCO World Heritage site. The reference chain, based on IEPE piezoelectric accelerometers and laser Doppler vibrometry, provides high-fidelity dynamic characterisation but is limited to transient acquisition. The permanent framework enables continuous long-term monitoring at substantially lower cost and, through DC coupling, gives access to quasi-static information that the AC-coupled reference instruments cannot provide. We define the metrological framework for comparing the two chains, the equivalence criteria for dynamic identification, and the complementary measurement capabilities of each, and discuss the conditions under which a permanent low-cost system can serve as a reliable continuous extension of a research-grade reference for preventive conservation.</w:t>
      </w:r>
    </w:p>
    <w:p>
      <w:pPr>
        <w:pStyle w:val="SubStyleBorder"/>
      </w:pPr>
      <w:bookmarkStart w:id="45" w:name="abs44"/>
      <w:r>
        <w:fldChar w:fldCharType="begin"/>
      </w:r>
      <w:r>
        <w:instrText xml:space="preserve">REF Index \h</w:instrText>
      </w:r>
      <w:r>
        <w:fldChar w:fldCharType="separate"/>
      </w:r>
      <w:r>
        <w:rPr>
          <w:color w:val="0000ff"/>
          <w:sz w:val="20"/>
          <w:szCs w:val="20"/>
        </w:rPr>
        <w:t>[3282]</w:t>
      </w:r>
      <w:r>
        <w:fldChar w:fldCharType="end"/>
      </w:r>
      <w:bookmarkEnd w:id="45"/>
      <w:r>
        <w:t xml:space="preserve"> </w:t>
      </w:r>
      <w:r>
        <w:rPr>
          <w:i/>
          <w:b/>
        </w:rPr>
        <w:t>From Neanderthal to Landscape: Protection Strategies and Digital Twin Approaches for the Lamalunga Cave System (Altamura - APULIA, Southern Italy)</w:t>
      </w:r>
    </w:p>
    <w:p>
      <w:pPr>
        <w:pStyle w:val="Authors"/>
      </w:pPr>
      <w:r>
        <w:t>Francesca Romana Paolillo</w:t>
      </w:r>
      <w:r>
        <w:t xml:space="preserve"> (</w:t>
      </w:r>
      <w:r>
        <w:rPr>
          <w:color w:val="636363"/>
          <w:sz w:val="20"/>
          <w:szCs w:val="20"/>
        </w:rPr>
        <w:t>Soprintendenza Archeologia, belle arti e paesaggio per la città metropolitana di Bari</w:t>
      </w:r>
      <w:r>
        <w:t>)</w:t>
      </w:r>
      <w:r>
        <w:t xml:space="preserve">, </w:t>
      </w:r>
      <w:r>
        <w:t>Elena Dellu'</w:t>
      </w:r>
      <w:r>
        <w:t xml:space="preserve"> (</w:t>
      </w:r>
      <w:r>
        <w:rPr>
          <w:color w:val="636363"/>
          <w:sz w:val="20"/>
          <w:szCs w:val="20"/>
        </w:rPr>
        <w:t>Soprintendenza Archeologia, belle arti e paesaggio per la città metropolitana di Bari</w:t>
      </w:r>
      <w:r>
        <w:t>)</w:t>
      </w:r>
      <w:r>
        <w:t xml:space="preserve">, </w:t>
      </w:r>
      <w:r>
        <w:t>Caterina Annese</w:t>
      </w:r>
      <w:r>
        <w:t xml:space="preserve"> (</w:t>
      </w:r>
      <w:r>
        <w:rPr>
          <w:color w:val="636363"/>
          <w:sz w:val="20"/>
          <w:szCs w:val="20"/>
        </w:rPr>
        <w:t>Soprintendenza Archeologia, belle arti e paesaggio per la città metropolitana di Bari</w:t>
      </w:r>
      <w:r>
        <w:t>)</w:t>
      </w:r>
      <w:r>
        <w:t xml:space="preserve">, </w:t>
      </w:r>
      <w:r>
        <w:t>Fabrizio Banfi</w:t>
      </w:r>
      <w:r>
        <w:t xml:space="preserve"> (</w:t>
      </w:r>
      <w:r>
        <w:rPr>
          <w:color w:val="636363"/>
          <w:sz w:val="20"/>
          <w:szCs w:val="20"/>
        </w:rPr>
        <w:t>Politecnico di Milano - Gicarus ABCLab</w:t>
      </w:r>
      <w:r>
        <w:t>)</w:t>
      </w:r>
      <w:r>
        <w:t xml:space="preserve">, </w:t>
      </w:r>
      <w:r>
        <w:t>Diego Blanco</w:t>
      </w:r>
      <w:r>
        <w:t xml:space="preserve"> (</w:t>
      </w:r>
      <w:r>
        <w:rPr>
          <w:color w:val="636363"/>
          <w:sz w:val="20"/>
          <w:szCs w:val="20"/>
        </w:rPr>
        <w:t>Archeogeos archeologia e geofisica</w:t>
      </w:r>
      <w:r>
        <w:t>)</w:t>
      </w:r>
      <w:r>
        <w:t xml:space="preserve">, </w:t>
      </w:r>
      <w:r>
        <w:t>Stefano Urbini</w:t>
      </w:r>
      <w:r>
        <w:t xml:space="preserve"> (</w:t>
      </w:r>
      <w:r>
        <w:rPr>
          <w:color w:val="636363"/>
          <w:sz w:val="20"/>
          <w:szCs w:val="20"/>
        </w:rPr>
        <w:t>Istituto Nazionale di Geofisica e Vulcanologia</w:t>
      </w:r>
      <w:r>
        <w:t>)</w:t>
      </w:r>
      <w:r>
        <w:t xml:space="preserve">, </w:t>
      </w:r>
      <w:r>
        <w:t>Iacopo Nicolosi</w:t>
      </w:r>
      <w:r>
        <w:t xml:space="preserve"> (</w:t>
      </w:r>
      <w:r>
        <w:rPr>
          <w:color w:val="636363"/>
          <w:sz w:val="20"/>
          <w:szCs w:val="20"/>
        </w:rPr>
        <w:t>Istituto Nazionale di Geofisica e Vulcanologia</w:t>
      </w:r>
      <w:r>
        <w:t>)</w:t>
      </w:r>
      <w:r>
        <w:t xml:space="preserve">, </w:t>
      </w:r>
      <w:r>
        <w:t>Teresa Rinaldi</w:t>
      </w:r>
      <w:r>
        <w:t xml:space="preserve"> (</w:t>
      </w:r>
      <w:r>
        <w:rPr>
          <w:color w:val="636363"/>
          <w:sz w:val="20"/>
          <w:szCs w:val="20"/>
        </w:rPr>
        <w:t>Sapienza Università di Roma - Dipartimento di Biologia e Biotecnologie Charles Darwin</w:t>
      </w:r>
      <w:r>
        <w:t>)</w:t>
      </w:r>
      <w:r>
        <w:t xml:space="preserve">, </w:t>
      </w:r>
      <w:r>
        <w:t>Andrea Quagliariello</w:t>
      </w:r>
      <w:r>
        <w:t xml:space="preserve"> (</w:t>
      </w:r>
      <w:r>
        <w:rPr>
          <w:color w:val="636363"/>
          <w:sz w:val="20"/>
          <w:szCs w:val="20"/>
        </w:rPr>
        <w:t>Università di Firenze - Dipartimento di Biologia</w:t>
      </w:r>
      <w:r>
        <w:t>)</w:t>
      </w:r>
      <w:r>
        <w:t xml:space="preserve">, </w:t>
      </w:r>
      <w:r>
        <w:t>Sandra Sivilli</w:t>
      </w:r>
      <w:r>
        <w:t xml:space="preserve"> (</w:t>
      </w:r>
      <w:r>
        <w:rPr>
          <w:color w:val="636363"/>
          <w:sz w:val="20"/>
          <w:szCs w:val="20"/>
        </w:rPr>
        <w:t>Archeologa professionista</w:t>
      </w:r>
      <w:r>
        <w:t>)</w:t>
      </w:r>
      <w:r>
        <w:t xml:space="preserve">, </w:t>
      </w:r>
      <w:r>
        <w:t>Azurra Tenore</w:t>
      </w:r>
      <w:r>
        <w:t xml:space="preserve"> (</w:t>
      </w:r>
      <w:r>
        <w:rPr>
          <w:color w:val="636363"/>
          <w:sz w:val="20"/>
          <w:szCs w:val="20"/>
        </w:rPr>
        <w:t>Archeologa professionista</w:t>
      </w:r>
      <w:r>
        <w:t>)</w:t>
      </w:r>
      <w:r>
        <w:t xml:space="preserve">, </w:t>
      </w:r>
      <w:r>
        <w:t>Ivana Fiore</w:t>
      </w:r>
      <w:r>
        <w:t xml:space="preserve"> (</w:t>
      </w:r>
      <w:r>
        <w:rPr>
          <w:color w:val="636363"/>
          <w:sz w:val="20"/>
          <w:szCs w:val="20"/>
        </w:rPr>
        <w:t>Archeozoologa professionista</w:t>
      </w:r>
      <w:r>
        <w:t>)</w:t>
      </w:r>
      <w:r>
        <w:t xml:space="preserve">. </w:t>
      </w:r>
    </w:p>
    <w:p>
      <w:pPr>
        <w:pStyle w:val="Text"/>
      </w:pPr>
      <w:r>
        <w:t>The Lamalunga Cave system (Altamura, Southern Italy), hosting the exceptional Neanderthal skeleton known as the “Altamura Man”, represents one of the most significant paleoanthropological contexts worldwide and a complex archive of palaeontological, geological and environmental evidence preserved within an active karst environment. Since 2019, the Archaeology, Fine Arts and Landscape Superintendency for the Metropolitan Area of Bari (SABAP-BA) has developed an integrated research and protection programme based on non-invasive recording, diagnostics and digital data integration. Terrestrial Laser Scanning, high-resolution photogrammetry, geophysical investigations and archaeological surveys were combined within a Digital Twin environment conceived not as a visual replica of the cave, but as a conservation-oriented information system. The integration of heterogeneous datasets enabled the correlation of paleoanthropological, geological, geomorphological and environmental evidence within a common spatial framework, supporting conservation assessment and evidence-based protection strategies. The proposed methodology provides a scalable and transferable framework for the management of fragile karstic, sealed and paleoanthropological heritage contexts.</w:t>
      </w:r>
    </w:p>
    <w:p>
      <w:pPr>
        <w:pStyle w:val="SubStyleBorder"/>
      </w:pPr>
      <w:bookmarkStart w:id="46" w:name="abs45"/>
      <w:r>
        <w:fldChar w:fldCharType="begin"/>
      </w:r>
      <w:r>
        <w:instrText xml:space="preserve">REF Index \h</w:instrText>
      </w:r>
      <w:r>
        <w:fldChar w:fldCharType="separate"/>
      </w:r>
      <w:r>
        <w:rPr>
          <w:color w:val="0000ff"/>
          <w:sz w:val="20"/>
          <w:szCs w:val="20"/>
        </w:rPr>
        <w:t>[3369]</w:t>
      </w:r>
      <w:r>
        <w:fldChar w:fldCharType="end"/>
      </w:r>
      <w:bookmarkEnd w:id="46"/>
      <w:r>
        <w:t xml:space="preserve"> </w:t>
      </w:r>
      <w:r>
        <w:rPr>
          <w:i/>
          <w:b/>
        </w:rPr>
        <w:t>Integrated Non-Destructive Surveying Technologies for the Digital Reconstruction of Ponte Sisto in Rome</w:t>
      </w:r>
    </w:p>
    <w:p>
      <w:pPr>
        <w:pStyle w:val="Authors"/>
      </w:pPr>
      <w:r>
        <w:t>Jhon Romer Diezmos Manalo</w:t>
      </w:r>
      <w:r>
        <w:t xml:space="preserve"> (</w:t>
      </w:r>
      <w:r>
        <w:rPr>
          <w:color w:val="636363"/>
          <w:sz w:val="20"/>
          <w:szCs w:val="20"/>
        </w:rPr>
        <w:t>Roma Tre University</w:t>
      </w:r>
      <w:r>
        <w:t>)</w:t>
      </w:r>
      <w:r>
        <w:t xml:space="preserve">, </w:t>
      </w:r>
      <w:r>
        <w:t>Valerio Gagliardi</w:t>
      </w:r>
      <w:r>
        <w:t xml:space="preserve"> (</w:t>
      </w:r>
      <w:r>
        <w:rPr>
          <w:color w:val="636363"/>
          <w:sz w:val="20"/>
          <w:szCs w:val="20"/>
        </w:rPr>
        <w:t>Roma Tre University</w:t>
      </w:r>
      <w:r>
        <w:t>)</w:t>
      </w:r>
      <w:r>
        <w:t xml:space="preserve">, </w:t>
      </w:r>
      <w:r>
        <w:t>Luca Bianchini Ciampoli</w:t>
      </w:r>
      <w:r>
        <w:t xml:space="preserve"> (</w:t>
      </w:r>
      <w:r>
        <w:rPr>
          <w:color w:val="636363"/>
          <w:sz w:val="20"/>
          <w:szCs w:val="20"/>
        </w:rPr>
        <w:t>Roma Tre University</w:t>
      </w:r>
      <w:r>
        <w:t>)</w:t>
      </w:r>
      <w:r>
        <w:t xml:space="preserve">, </w:t>
      </w:r>
      <w:r>
        <w:t>Antonio Napolitano</w:t>
      </w:r>
      <w:r>
        <w:t xml:space="preserve"> (</w:t>
      </w:r>
      <w:r>
        <w:rPr>
          <w:color w:val="636363"/>
          <w:sz w:val="20"/>
          <w:szCs w:val="20"/>
        </w:rPr>
        <w:t>Roma Tre University</w:t>
      </w:r>
      <w:r>
        <w:t>)</w:t>
      </w:r>
      <w:r>
        <w:t xml:space="preserve">, </w:t>
      </w:r>
      <w:r>
        <w:t>Alessandro Onofri</w:t>
      </w:r>
      <w:r>
        <w:t xml:space="preserve"> (</w:t>
      </w:r>
      <w:r>
        <w:rPr>
          <w:color w:val="636363"/>
          <w:sz w:val="20"/>
          <w:szCs w:val="20"/>
        </w:rPr>
        <w:t>Roma Tre University</w:t>
      </w:r>
      <w:r>
        <w:t>)</w:t>
      </w:r>
      <w:r>
        <w:t xml:space="preserve">, </w:t>
      </w:r>
      <w:r>
        <w:t>Andrea Benedetto</w:t>
      </w:r>
      <w:r>
        <w:t xml:space="preserve"> (</w:t>
      </w:r>
      <w:r>
        <w:rPr>
          <w:color w:val="636363"/>
          <w:sz w:val="20"/>
          <w:szCs w:val="20"/>
        </w:rPr>
        <w:t>Roma Tre University</w:t>
      </w:r>
      <w:r>
        <w:t>)</w:t>
      </w:r>
      <w:r>
        <w:t xml:space="preserve">. </w:t>
      </w:r>
    </w:p>
    <w:p>
      <w:pPr>
        <w:pStyle w:val="Text"/>
      </w:pPr>
      <w:r>
        <w:t>Historic bridges represent a fundamental component of urban cultural heritage, requiring comprehensive documentation methodologies capable of capturing both geometric and structural information while minimizing physical interventions. This study presents an integrated multi-sensor approach for the digital reconstruction and structural characterization of Ponte Sisto, a significant historical masonry bridge crossing the Tiber River in Rome, Italy. The proposed methodology combines Terrestrial Laser Scanning (TLS), Unmanned Aerial Vehicle (UAV) photogrammetry, and Ground Penetrating Radar (GPR), and Multi-Temporal Satellite Interferometry (MT-InSAR) to generate a comprehensive digital twin of the infrastructure. The integration of terrestrial and aerial datasets enabled a complete, high-resolution 3D point cloud of the bridge, processed through semi-automatic segmentation for Scan-to-BIM applications. Simultaneously, GPR surveys were conducted to investigate the internal composition, identifying filling layers and historical metallic elements. Furthermore, the processing of high-resolution X-Band SAR products through the MT-InSAR technique provided historical time-series of structural deformations using Persistent Scatterers (PSs). By mapping the GPR-derived subsurface information and the satellite-based displacement trends onto the 3D geometric model, this research offers a robust tool for conservation planning and near-real-time structural assessment.</w:t>
      </w:r>
    </w:p>
    <w:p>
      <w:pPr>
        <w:pStyle w:val="SubStyleBorder"/>
      </w:pPr>
      <w:bookmarkStart w:id="47" w:name="abs46"/>
      <w:r>
        <w:fldChar w:fldCharType="begin"/>
      </w:r>
      <w:r>
        <w:instrText xml:space="preserve">REF Index \h</w:instrText>
      </w:r>
      <w:r>
        <w:fldChar w:fldCharType="separate"/>
      </w:r>
      <w:r>
        <w:rPr>
          <w:color w:val="0000ff"/>
          <w:sz w:val="20"/>
          <w:szCs w:val="20"/>
        </w:rPr>
        <w:t>[3418]</w:t>
      </w:r>
      <w:r>
        <w:fldChar w:fldCharType="end"/>
      </w:r>
      <w:bookmarkEnd w:id="47"/>
      <w:r>
        <w:t xml:space="preserve"> </w:t>
      </w:r>
      <w:r>
        <w:rPr>
          <w:i/>
          <w:b/>
        </w:rPr>
        <w:t>The Measurable Afterlife of Sound: Modelling Ancient Instruments and Reactivating Media Art</w:t>
      </w:r>
    </w:p>
    <w:p>
      <w:pPr>
        <w:pStyle w:val="Authors"/>
      </w:pPr>
      <w:r>
        <w:t>Niccolò Pretto</w:t>
      </w:r>
      <w:r>
        <w:t xml:space="preserve"> (</w:t>
      </w:r>
      <w:r>
        <w:rPr>
          <w:color w:val="636363"/>
          <w:sz w:val="20"/>
          <w:szCs w:val="20"/>
        </w:rPr>
        <w:t>Free University of Bozen-Bolzano, Faculty of Engineering, Bolzano, Italy</w:t>
      </w:r>
      <w:r>
        <w:t>)</w:t>
      </w:r>
      <w:r>
        <w:t xml:space="preserve">, </w:t>
      </w:r>
      <w:r>
        <w:t>Alessandro Fiordelmondo</w:t>
      </w:r>
      <w:r>
        <w:t xml:space="preserve"> (</w:t>
      </w:r>
      <w:r>
        <w:rPr>
          <w:color w:val="636363"/>
          <w:sz w:val="20"/>
          <w:szCs w:val="20"/>
        </w:rPr>
        <w:t>Centro di Sonologia Computazionale - Dept.Information Engineering (University of Padova)</w:t>
      </w:r>
      <w:r>
        <w:t>)</w:t>
      </w:r>
      <w:r>
        <w:t xml:space="preserve">, </w:t>
      </w:r>
      <w:r>
        <w:t>Andrea Franceschini</w:t>
      </w:r>
      <w:r>
        <w:t xml:space="preserve"> (</w:t>
      </w:r>
      <w:r>
        <w:rPr>
          <w:color w:val="636363"/>
          <w:sz w:val="20"/>
          <w:szCs w:val="20"/>
        </w:rPr>
        <w:t>Centro di Sonologia Computazionale - Dept.Information Engineering (University of Padova)</w:t>
      </w:r>
      <w:r>
        <w:t>)</w:t>
      </w:r>
      <w:r>
        <w:t xml:space="preserve">, </w:t>
      </w:r>
      <w:r>
        <w:t>Giulio Pitteri</w:t>
      </w:r>
      <w:r>
        <w:t xml:space="preserve"> (</w:t>
      </w:r>
      <w:r>
        <w:rPr>
          <w:color w:val="636363"/>
          <w:sz w:val="20"/>
          <w:szCs w:val="20"/>
        </w:rPr>
        <w:t>Centro di Sonologia Computazionale - Dept.Information Engineering (University of Padova)</w:t>
      </w:r>
      <w:r>
        <w:t>)</w:t>
      </w:r>
      <w:r>
        <w:t xml:space="preserve">, </w:t>
      </w:r>
      <w:r>
        <w:t>Antonio Rodà</w:t>
      </w:r>
      <w:r>
        <w:t xml:space="preserve"> (</w:t>
      </w:r>
      <w:r>
        <w:rPr>
          <w:color w:val="636363"/>
          <w:sz w:val="20"/>
          <w:szCs w:val="20"/>
        </w:rPr>
        <w:t>Centro di Sonologia Computazionale - Dept.Information Engineering (University of Padova)</w:t>
      </w:r>
      <w:r>
        <w:t>)</w:t>
      </w:r>
      <w:r>
        <w:t xml:space="preserve">, </w:t>
      </w:r>
      <w:r>
        <w:t>Sergio Canazza</w:t>
      </w:r>
      <w:r>
        <w:t xml:space="preserve"> (</w:t>
      </w:r>
      <w:r>
        <w:rPr>
          <w:color w:val="636363"/>
          <w:sz w:val="20"/>
          <w:szCs w:val="20"/>
        </w:rPr>
        <w:t>Centro di Sonologia Computazionale - Dept.Information Engineering (University of Padova)</w:t>
      </w:r>
      <w:r>
        <w:t>)</w:t>
      </w:r>
      <w:r>
        <w:t xml:space="preserve">. </w:t>
      </w:r>
    </w:p>
    <w:p>
      <w:pPr>
        <w:pStyle w:val="Text"/>
      </w:pPr>
      <w:r>
        <w:t>Sound and media heritage challenges cultural heritage metrology because its relevant features are often unstable, process-based, distributed across material and digital components, and meaningful only when reactivated. This long abstract reports on a research line developed within the CSC tradition, connecting the reconstruction and sound simulation of ancient musical instruments, the active preservation of electrophone and computer-music systems, and the reactivation of media-art installations. The proposed approach treats these artefacts as measurable systems composed of geometry, materials, acoustic behaviour, electronic circuits, software dependencies, interaction protocols, spatial configurations, and listening conditions. Through selected cases, the paper discusses how non-invasive measurement, modelling, simulation, documentation, can support scientifically accountable reactivation. The aim is to show how metrology can bridge material evidence and intangible cultural knowledge, making possible the preservation, interpretation, and public experience of artefacts whose value emerges through sound, operation, and interaction.</w:t>
      </w:r>
    </w:p>
    <w:p>
      <w:pPr>
        <w:pStyle w:val="SubStyleBorder"/>
      </w:pPr>
      <w:bookmarkStart w:id="48" w:name="abs47"/>
      <w:r>
        <w:fldChar w:fldCharType="begin"/>
      </w:r>
      <w:r>
        <w:instrText xml:space="preserve">REF Index \h</w:instrText>
      </w:r>
      <w:r>
        <w:fldChar w:fldCharType="separate"/>
      </w:r>
      <w:r>
        <w:rPr>
          <w:color w:val="0000ff"/>
          <w:sz w:val="20"/>
          <w:szCs w:val="20"/>
        </w:rPr>
        <w:t>[3497]</w:t>
      </w:r>
      <w:r>
        <w:fldChar w:fldCharType="end"/>
      </w:r>
      <w:bookmarkEnd w:id="48"/>
      <w:r>
        <w:t xml:space="preserve"> </w:t>
      </w:r>
      <w:r>
        <w:rPr>
          <w:i/>
          <w:b/>
        </w:rPr>
        <w:t>Digital technologies for Valorization, Engagement, and Accessibility of ‘ghost towns’</w:t>
      </w:r>
    </w:p>
    <w:p>
      <w:pPr>
        <w:pStyle w:val="Authors"/>
      </w:pPr>
      <w:r>
        <w:t>Fabrizio Terenzio Gizzi</w:t>
      </w:r>
      <w:r>
        <w:t xml:space="preserve"> (</w:t>
      </w:r>
      <w:r>
        <w:rPr>
          <w:color w:val="636363"/>
          <w:sz w:val="20"/>
          <w:szCs w:val="20"/>
        </w:rPr>
        <w:t>CNR-ISPC</w:t>
      </w:r>
      <w:r>
        <w:t>)</w:t>
      </w:r>
      <w:r>
        <w:t xml:space="preserve">, </w:t>
      </w:r>
      <w:r>
        <w:t>Maria Rosaria Potenza</w:t>
      </w:r>
      <w:r>
        <w:t xml:space="preserve"> (</w:t>
      </w:r>
      <w:r>
        <w:rPr>
          <w:color w:val="636363"/>
          <w:sz w:val="20"/>
          <w:szCs w:val="20"/>
        </w:rPr>
        <w:t>CNR-ISPC</w:t>
      </w:r>
      <w:r>
        <w:t>)</w:t>
      </w:r>
      <w:r>
        <w:t xml:space="preserve">, </w:t>
      </w:r>
      <w:r>
        <w:t>Sergio De Giuseppe</w:t>
      </w:r>
      <w:r>
        <w:t xml:space="preserve"> (</w:t>
      </w:r>
      <w:r>
        <w:rPr>
          <w:color w:val="636363"/>
          <w:sz w:val="20"/>
          <w:szCs w:val="20"/>
        </w:rPr>
        <w:t>Co.m.media s.r.l.</w:t>
      </w:r>
      <w:r>
        <w:t>)</w:t>
      </w:r>
      <w:r>
        <w:t xml:space="preserve">, </w:t>
      </w:r>
      <w:r>
        <w:t>Marilisa Biscione</w:t>
      </w:r>
      <w:r>
        <w:t xml:space="preserve"> (</w:t>
      </w:r>
      <w:r>
        <w:rPr>
          <w:color w:val="636363"/>
          <w:sz w:val="20"/>
          <w:szCs w:val="20"/>
        </w:rPr>
        <w:t>CNR-ISPC</w:t>
      </w:r>
      <w:r>
        <w:t>)</w:t>
      </w:r>
      <w:r>
        <w:t xml:space="preserve">, </w:t>
      </w:r>
      <w:r>
        <w:t>Laviero Pepe</w:t>
      </w:r>
      <w:r>
        <w:t xml:space="preserve"> (</w:t>
      </w:r>
      <w:r>
        <w:rPr>
          <w:color w:val="636363"/>
          <w:sz w:val="20"/>
          <w:szCs w:val="20"/>
        </w:rPr>
        <w:t>CNR-ISPC</w:t>
      </w:r>
      <w:r>
        <w:t>)</w:t>
      </w:r>
      <w:r>
        <w:t xml:space="preserve">, </w:t>
      </w:r>
      <w:r>
        <w:t>Nicola Masini</w:t>
      </w:r>
      <w:r>
        <w:t xml:space="preserve"> (</w:t>
      </w:r>
      <w:r>
        <w:rPr>
          <w:color w:val="636363"/>
          <w:sz w:val="20"/>
          <w:szCs w:val="20"/>
        </w:rPr>
        <w:t>CNR - ISPC</w:t>
      </w:r>
      <w:r>
        <w:t>)</w:t>
      </w:r>
      <w:r>
        <w:t xml:space="preserve">, </w:t>
      </w:r>
      <w:r>
        <w:t>Annarita Sannazzaro</w:t>
      </w:r>
      <w:r>
        <w:t xml:space="preserve"> (</w:t>
      </w:r>
      <w:r>
        <w:rPr>
          <w:color w:val="636363"/>
          <w:sz w:val="20"/>
          <w:szCs w:val="20"/>
        </w:rPr>
        <w:t>CNR-ISPC</w:t>
      </w:r>
      <w:r>
        <w:t>)</w:t>
      </w:r>
      <w:r>
        <w:t xml:space="preserve">. </w:t>
      </w:r>
    </w:p>
    <w:p>
      <w:pPr>
        <w:pStyle w:val="Text"/>
      </w:pPr>
      <w:r>
        <w:t>The article discusses the prototype digital interactive application ‘Craco Accessibile’ (Accessible Craco), developed within the ‘Basilicata Heritage Smart Lab’ project aimed at valorizing and enabling accessibility to the abandoned village of Craco Vecchia (Basilicata, southern Italy). The adopted methodology combines historical investigations with digital technologies, including drone-based surveys and 3D modelling. The application enables immersive exploration of the village through 3D models, points of interest (POI), videos and 360° renderings, multimedia contents, useful for comparing historical and contemporary layouts of the site. The digital product aims to make Craco’s historical memory accessible, overcoming two main limitations. The first regards the physical unreachability of some urban areas for safety reasons; the second concerns the disappearance of buildings and urban contexts following the landslide phenomena that affected the site over time. From a broader perspective, the prototype application aims to promote new ways of understanding, interpreting, and transmitting the memory of abandoned sites, thereby contributing to the cultural and tourism valorization of these distinctive places.</w:t>
      </w:r>
    </w:p>
    <w:p>
      <w:pPr>
        <w:pStyle w:val="SubStyleBorder"/>
      </w:pPr>
      <w:bookmarkStart w:id="49" w:name="abs48"/>
      <w:r>
        <w:fldChar w:fldCharType="begin"/>
      </w:r>
      <w:r>
        <w:instrText xml:space="preserve">REF Index \h</w:instrText>
      </w:r>
      <w:r>
        <w:fldChar w:fldCharType="separate"/>
      </w:r>
      <w:r>
        <w:rPr>
          <w:color w:val="0000ff"/>
          <w:sz w:val="20"/>
          <w:szCs w:val="20"/>
        </w:rPr>
        <w:t>[3786]</w:t>
      </w:r>
      <w:r>
        <w:fldChar w:fldCharType="end"/>
      </w:r>
      <w:bookmarkEnd w:id="49"/>
      <w:r>
        <w:t xml:space="preserve"> </w:t>
      </w:r>
      <w:r>
        <w:rPr>
          <w:i/>
          <w:b/>
        </w:rPr>
        <w:t>Integrated Geomorphological and Geophysical Investigations at the Poetry Cave Prehistoric Archaeological Site (Roca, Southern Italy): new data from the RESONANCE project</w:t>
      </w:r>
    </w:p>
    <w:p>
      <w:pPr>
        <w:pStyle w:val="Authors"/>
      </w:pPr>
      <w:r>
        <w:t>Giovanni Leucci</w:t>
      </w:r>
      <w:r>
        <w:t xml:space="preserve"> (</w:t>
      </w:r>
      <w:r>
        <w:rPr>
          <w:color w:val="636363"/>
          <w:sz w:val="20"/>
          <w:szCs w:val="20"/>
        </w:rPr>
        <w:t>Institute of Heritage Science (ISPC) - National Research Council (CNR)</w:t>
      </w:r>
      <w:r>
        <w:t>)</w:t>
      </w:r>
      <w:r>
        <w:t xml:space="preserve">, </w:t>
      </w:r>
      <w:r>
        <w:t>Lara De Giorgi</w:t>
      </w:r>
      <w:r>
        <w:t xml:space="preserve"> (</w:t>
      </w:r>
      <w:r>
        <w:rPr>
          <w:color w:val="636363"/>
          <w:sz w:val="20"/>
          <w:szCs w:val="20"/>
        </w:rPr>
        <w:t>Institute of Heritage Science (ISPC) - National Research Council (CNR)</w:t>
      </w:r>
      <w:r>
        <w:t>)</w:t>
      </w:r>
      <w:r>
        <w:t xml:space="preserve">, </w:t>
      </w:r>
      <w:r>
        <w:t>Vincenzo Di Fiore</w:t>
      </w:r>
      <w:r>
        <w:t xml:space="preserve"> (</w:t>
      </w:r>
      <w:r>
        <w:rPr>
          <w:color w:val="636363"/>
          <w:sz w:val="20"/>
          <w:szCs w:val="20"/>
        </w:rPr>
        <w:t>Institute of Heritage Science (ISPC) - National Research Council (CNR)</w:t>
      </w:r>
      <w:r>
        <w:t>)</w:t>
      </w:r>
      <w:r>
        <w:t xml:space="preserve">, </w:t>
      </w:r>
      <w:r>
        <w:t>Daniela Tarallo</w:t>
      </w:r>
      <w:r>
        <w:t xml:space="preserve"> (</w:t>
      </w:r>
      <w:r>
        <w:rPr>
          <w:color w:val="636363"/>
          <w:sz w:val="20"/>
          <w:szCs w:val="20"/>
        </w:rPr>
        <w:t>Institute of Heritage Science (ISPC) - National Research Council (CNR)</w:t>
      </w:r>
      <w:r>
        <w:t>)</w:t>
      </w:r>
      <w:r>
        <w:t xml:space="preserve">, </w:t>
      </w:r>
      <w:r>
        <w:t>Michele Punzo</w:t>
      </w:r>
      <w:r>
        <w:t xml:space="preserve"> (</w:t>
      </w:r>
      <w:r>
        <w:rPr>
          <w:color w:val="636363"/>
          <w:sz w:val="20"/>
          <w:szCs w:val="20"/>
        </w:rPr>
        <w:t>Institute of Heritage Science (ISPC) - National Research Council (CNR)</w:t>
      </w:r>
      <w:r>
        <w:t>)</w:t>
      </w:r>
      <w:r>
        <w:t xml:space="preserve">, </w:t>
      </w:r>
      <w:r>
        <w:t>Dora Francesca Barbolla</w:t>
      </w:r>
      <w:r>
        <w:t xml:space="preserve"> (</w:t>
      </w:r>
      <w:r>
        <w:rPr>
          <w:color w:val="636363"/>
          <w:sz w:val="20"/>
          <w:szCs w:val="20"/>
        </w:rPr>
        <w:t>Institute of Heritage Science (ISPC) - National Research Council (CNR)</w:t>
      </w:r>
      <w:r>
        <w:t>)</w:t>
      </w:r>
      <w:r>
        <w:t xml:space="preserve">, </w:t>
      </w:r>
      <w:r>
        <w:t>Ivan Ferrari</w:t>
      </w:r>
      <w:r>
        <w:t xml:space="preserve"> (</w:t>
      </w:r>
      <w:r>
        <w:rPr>
          <w:color w:val="636363"/>
          <w:sz w:val="20"/>
          <w:szCs w:val="20"/>
        </w:rPr>
        <w:t>Institute of Heritage Science (ISPC) - National Research Council (CNR)</w:t>
      </w:r>
      <w:r>
        <w:t>)</w:t>
      </w:r>
      <w:r>
        <w:t xml:space="preserve">, </w:t>
      </w:r>
      <w:r>
        <w:t>Francesco Giuri</w:t>
      </w:r>
      <w:r>
        <w:t xml:space="preserve"> (</w:t>
      </w:r>
      <w:r>
        <w:rPr>
          <w:color w:val="636363"/>
          <w:sz w:val="20"/>
          <w:szCs w:val="20"/>
        </w:rPr>
        <w:t>Institute of Heritage Science (ISPC) - National Research Council (CNR)</w:t>
      </w:r>
      <w:r>
        <w:t>)</w:t>
      </w:r>
      <w:r>
        <w:t xml:space="preserve">, </w:t>
      </w:r>
      <w:r>
        <w:t>Maurizio Lazzari</w:t>
      </w:r>
      <w:r>
        <w:t xml:space="preserve"> (</w:t>
      </w:r>
      <w:r>
        <w:rPr>
          <w:color w:val="636363"/>
          <w:sz w:val="20"/>
          <w:szCs w:val="20"/>
        </w:rPr>
        <w:t>Institute of Heritage Science (ISPC) - National Research Council (CNR)</w:t>
      </w:r>
      <w:r>
        <w:t>)</w:t>
      </w:r>
      <w:r>
        <w:t xml:space="preserve">. </w:t>
      </w:r>
    </w:p>
    <w:p>
      <w:pPr>
        <w:pStyle w:val="Text"/>
      </w:pPr>
      <w:r>
        <w:t>The Poetry Cave archaeological site (Roca, southern Italy) represents a unique coastal environment characterized by the interaction of geological, geomorphological, and marine processes. The site hosts important archaeological evidence and cultural heritage features that are increasingly threatened by coastal instability and progressive cliff retreat. To investigate the factors controlling these processes, an integrated approach combining geological and geomorphological surveys with non-invasive geophysical investigations was adopted. Electrical Resistivity Tomography (ERT), Seismic Refraction Tomography (SRT), time-lapse ERT experiments, and gravimetric surveys were carried out to characterize the subsurface conditions, identify fractured zones, assess water infiltration pathways, and evaluate the stability of the rock mass. The integration of geomorphological and geophysical datasets provides a comprehensive framework for understanding the evolution of this coastal archaeological site and supports the preservation and long-term management of this unique coastal archaeological heritage.</w:t>
      </w:r>
    </w:p>
    <w:p>
      <w:pPr>
        <w:pStyle w:val="SubStyleBorder"/>
      </w:pPr>
      <w:bookmarkStart w:id="50" w:name="abs49"/>
      <w:r>
        <w:fldChar w:fldCharType="begin"/>
      </w:r>
      <w:r>
        <w:instrText xml:space="preserve">REF Index \h</w:instrText>
      </w:r>
      <w:r>
        <w:fldChar w:fldCharType="separate"/>
      </w:r>
      <w:r>
        <w:rPr>
          <w:color w:val="0000ff"/>
          <w:sz w:val="20"/>
          <w:szCs w:val="20"/>
        </w:rPr>
        <w:t>[3879]</w:t>
      </w:r>
      <w:r>
        <w:fldChar w:fldCharType="end"/>
      </w:r>
      <w:bookmarkEnd w:id="50"/>
      <w:r>
        <w:t xml:space="preserve"> </w:t>
      </w:r>
      <w:r>
        <w:rPr>
          <w:i/>
          <w:b/>
        </w:rPr>
        <w:t>Preliminary Non-Invasive Characterization of Pigments in the Busca Papyrus: Insights into Original Materials and Restoration Interventions</w:t>
      </w:r>
    </w:p>
    <w:p>
      <w:pPr>
        <w:pStyle w:val="Authors"/>
      </w:pPr>
      <w:r>
        <w:t>Valeria Comite</w:t>
      </w:r>
      <w:r>
        <w:t xml:space="preserve"> (</w:t>
      </w:r>
      <w:r>
        <w:rPr>
          <w:color w:val="636363"/>
          <w:sz w:val="20"/>
          <w:szCs w:val="20"/>
        </w:rPr>
        <w:t>Department of Chemistry, University of Milan</w:t>
      </w:r>
      <w:r>
        <w:t>)</w:t>
      </w:r>
      <w:r>
        <w:t xml:space="preserve">, </w:t>
      </w:r>
      <w:r>
        <w:t>Paola Fermo</w:t>
      </w:r>
      <w:r>
        <w:t xml:space="preserve"> (</w:t>
      </w:r>
      <w:r>
        <w:rPr>
          <w:color w:val="636363"/>
          <w:sz w:val="20"/>
          <w:szCs w:val="20"/>
        </w:rPr>
        <w:t>Department of Chemistry, University of Milan</w:t>
      </w:r>
      <w:r>
        <w:t>)</w:t>
      </w:r>
      <w:r>
        <w:t xml:space="preserve">, </w:t>
      </w:r>
      <w:r>
        <w:t>Gianluca Carabelli</w:t>
      </w:r>
      <w:r>
        <w:t xml:space="preserve"> (</w:t>
      </w:r>
      <w:r>
        <w:rPr>
          <w:color w:val="636363"/>
          <w:sz w:val="20"/>
          <w:szCs w:val="20"/>
        </w:rPr>
        <w:t>Department of Chemistry, University of Milan</w:t>
      </w:r>
      <w:r>
        <w:t>)</w:t>
      </w:r>
      <w:r>
        <w:t xml:space="preserve">, </w:t>
      </w:r>
      <w:r>
        <w:t>Antonino Fiorentino</w:t>
      </w:r>
      <w:r>
        <w:t xml:space="preserve"> (</w:t>
      </w:r>
      <w:r>
        <w:rPr>
          <w:color w:val="636363"/>
          <w:sz w:val="20"/>
          <w:szCs w:val="20"/>
        </w:rPr>
        <w:t>Department of Chemistry, University of Milan</w:t>
      </w:r>
      <w:r>
        <w:t>)</w:t>
      </w:r>
      <w:r>
        <w:t xml:space="preserve">, </w:t>
      </w:r>
      <w:r>
        <w:t>Francesca Sabatini</w:t>
      </w:r>
      <w:r>
        <w:t xml:space="preserve"> (</w:t>
      </w:r>
      <w:r>
        <w:rPr>
          <w:color w:val="636363"/>
          <w:sz w:val="20"/>
          <w:szCs w:val="20"/>
        </w:rPr>
        <w:t>Department of Earth and Environmental Sciences, University of Milano-Bicocca</w:t>
      </w:r>
      <w:r>
        <w:t>)</w:t>
      </w:r>
      <w:r>
        <w:t xml:space="preserve">, </w:t>
      </w:r>
      <w:r>
        <w:t>Daniele Bolleri</w:t>
      </w:r>
      <w:r>
        <w:t xml:space="preserve"> (</w:t>
      </w:r>
      <w:r>
        <w:rPr>
          <w:color w:val="636363"/>
          <w:sz w:val="20"/>
          <w:szCs w:val="20"/>
        </w:rPr>
        <w:t>Department of Chemistry, University of Milan</w:t>
      </w:r>
      <w:r>
        <w:t>)</w:t>
      </w:r>
      <w:r>
        <w:t xml:space="preserve">, </w:t>
      </w:r>
      <w:r>
        <w:t>Lorenzo Guardiano</w:t>
      </w:r>
      <w:r>
        <w:t xml:space="preserve"> (</w:t>
      </w:r>
      <w:r>
        <w:rPr>
          <w:color w:val="636363"/>
          <w:sz w:val="20"/>
          <w:szCs w:val="20"/>
        </w:rPr>
        <w:t>Department of Literary, Philological and Linguistic Studies, University of Milan</w:t>
      </w:r>
      <w:r>
        <w:t>)</w:t>
      </w:r>
      <w:r>
        <w:t xml:space="preserve">. </w:t>
      </w:r>
    </w:p>
    <w:p>
      <w:pPr>
        <w:pStyle w:val="Text"/>
      </w:pPr>
      <w:r>
        <w:t>The Busca Papyrus at the Archaeological Museum in Milan, containing the Book of the Dead of Ptahmose, was investigated using a multi-analytical approach to characterize its pictorial materials and assess the presence of pigments associated with documented nineteenth-century restoration interventions. The diagnostic campaign combined portable and mainly non-invasive techniques, including Raman spectroscopy, visible diffuse reflectance spectroscopy, multispectral imaging (MSI), including visible-induced luminescence (VIL), portable X-ray fluorescence (XRF), and SEM–EDX microanalysis on micro-fragments already detached from the surface. The integrated analytical results allowed the identification of original pigments, including red ochre and traces of Egyptian blue, as well as cinnabar and arsenic-based pigments related to later restoration phases. The complementary application of molecular, elemental, and imaging techniques provided new insights into the pictorial palette and contributed to a better understanding of the material composition and conservation history of this important Egyptian manuscript.</w:t>
      </w:r>
    </w:p>
    <w:p>
      <w:pPr>
        <w:pStyle w:val="SubStyleBorder"/>
      </w:pPr>
      <w:bookmarkStart w:id="51" w:name="abs50"/>
      <w:r>
        <w:fldChar w:fldCharType="begin"/>
      </w:r>
      <w:r>
        <w:instrText xml:space="preserve">REF Index \h</w:instrText>
      </w:r>
      <w:r>
        <w:fldChar w:fldCharType="separate"/>
      </w:r>
      <w:r>
        <w:rPr>
          <w:color w:val="0000ff"/>
          <w:sz w:val="20"/>
          <w:szCs w:val="20"/>
        </w:rPr>
        <w:t>[3921]</w:t>
      </w:r>
      <w:r>
        <w:fldChar w:fldCharType="end"/>
      </w:r>
      <w:bookmarkEnd w:id="51"/>
      <w:r>
        <w:t xml:space="preserve"> </w:t>
      </w:r>
      <w:r>
        <w:rPr>
          <w:i/>
          <w:b/>
        </w:rPr>
        <w:t>From earth to heaven. A first account of the atlas of ancient obelisks</w:t>
      </w:r>
    </w:p>
    <w:p>
      <w:pPr>
        <w:pStyle w:val="Authors"/>
      </w:pPr>
      <w:r>
        <w:t>Marco Carpiceci</w:t>
      </w:r>
      <w:r>
        <w:t xml:space="preserve"> (</w:t>
      </w:r>
      <w:r>
        <w:rPr>
          <w:color w:val="636363"/>
          <w:sz w:val="20"/>
          <w:szCs w:val="20"/>
        </w:rPr>
        <w:t>Sapienza University of Rome</w:t>
      </w:r>
      <w:r>
        <w:t>)</w:t>
      </w:r>
      <w:r>
        <w:t xml:space="preserve">, </w:t>
      </w:r>
      <w:r>
        <w:t>Fabio Lanfranchi</w:t>
      </w:r>
      <w:r>
        <w:t xml:space="preserve"> (</w:t>
      </w:r>
      <w:r>
        <w:rPr>
          <w:color w:val="636363"/>
          <w:sz w:val="20"/>
          <w:szCs w:val="20"/>
        </w:rPr>
        <w:t>Sapienza University of Rome</w:t>
      </w:r>
      <w:r>
        <w:t>)</w:t>
      </w:r>
      <w:r>
        <w:t xml:space="preserve">, </w:t>
      </w:r>
      <w:r>
        <w:t>Andrea Angelini</w:t>
      </w:r>
      <w:r>
        <w:t xml:space="preserve"> (</w:t>
      </w:r>
      <w:r>
        <w:rPr>
          <w:color w:val="636363"/>
          <w:sz w:val="20"/>
          <w:szCs w:val="20"/>
        </w:rPr>
        <w:t>Consiglio Nazionale delle Ricerche - ITABC</w:t>
      </w:r>
      <w:r>
        <w:t>)</w:t>
      </w:r>
      <w:r>
        <w:t xml:space="preserve">. </w:t>
      </w:r>
    </w:p>
    <w:p>
      <w:pPr>
        <w:pStyle w:val="Text"/>
      </w:pPr>
      <w:r>
        <w:t>This contribution aims to take stock of the progress of two researches funded by the University of Sapienza in Rome and aimed at the detection and 'complete' representation of ancient obelisks present in the world; including both Egyptian and Roman monoliths.
There is still no publication on known ancient obelisks that presents their formal and "linguistic" aspect and this is the objective for which two researches have been funded by the Sapienza University of Rome.
Two years after the start of the research, we wanted to draw up a first report describing its current state of progress.</w:t>
      </w:r>
    </w:p>
    <w:p>
      <w:pPr>
        <w:pStyle w:val="SubStyleBorder"/>
      </w:pPr>
      <w:bookmarkStart w:id="52" w:name="abs51"/>
      <w:r>
        <w:fldChar w:fldCharType="begin"/>
      </w:r>
      <w:r>
        <w:instrText xml:space="preserve">REF Index \h</w:instrText>
      </w:r>
      <w:r>
        <w:fldChar w:fldCharType="separate"/>
      </w:r>
      <w:r>
        <w:rPr>
          <w:color w:val="0000ff"/>
          <w:sz w:val="20"/>
          <w:szCs w:val="20"/>
        </w:rPr>
        <w:t>[3929]</w:t>
      </w:r>
      <w:r>
        <w:fldChar w:fldCharType="end"/>
      </w:r>
      <w:bookmarkEnd w:id="52"/>
      <w:r>
        <w:t xml:space="preserve"> </w:t>
      </w:r>
      <w:r>
        <w:rPr>
          <w:i/>
          <w:b/>
        </w:rPr>
        <w:t>Metrology-Aware Cooperative Multi-Robot Positioning for Cultural-Heritage Navigation and Data Acquisition</w:t>
      </w:r>
    </w:p>
    <w:p>
      <w:pPr>
        <w:pStyle w:val="Authors"/>
      </w:pPr>
      <w:r>
        <w:t>Ihtisham Ul Haq</w:t>
      </w:r>
      <w:r>
        <w:t xml:space="preserve"> (</w:t>
      </w:r>
      <w:r>
        <w:rPr>
          <w:color w:val="636363"/>
          <w:sz w:val="20"/>
          <w:szCs w:val="20"/>
        </w:rPr>
        <w:t>University of Calabria, 87036 Rende, CS, Italy</w:t>
      </w:r>
      <w:r>
        <w:t>)</w:t>
      </w:r>
      <w:r>
        <w:t xml:space="preserve">, </w:t>
      </w:r>
      <w:r>
        <w:t>Francesco Lamonaca</w:t>
      </w:r>
      <w:r>
        <w:t xml:space="preserve"> (</w:t>
      </w:r>
      <w:r>
        <w:rPr>
          <w:color w:val="636363"/>
          <w:sz w:val="20"/>
          <w:szCs w:val="20"/>
        </w:rPr>
        <w:t>University of Calabria, 87036 Rende, CS, Italy.</w:t>
      </w:r>
      <w:r>
        <w:t>)</w:t>
      </w:r>
      <w:r>
        <w:t xml:space="preserve">. </w:t>
      </w:r>
    </w:p>
    <w:p>
      <w:pPr>
        <w:pStyle w:val="Text"/>
      </w:pPr>
      <w:r>
        <w:t>Reliable cooperative positioning is required to preserve the spatial consistency and repeatability of measurements acquired during archaeological and cultural-heritage operations. This paper presents a metrology-aware framework that combines odometry, fixed-landmark and inter-robot range-bearing measurements, a centralized 15-state extended Kalman filter, Mahalanobis innovation gating, and validation-selected fixed-lag refinement. The filter-only estimate is refined with a bounded latency of 2.0s. Residual-learning models are accepted only when their validation root mean square error (RMSE) improvement reaches or exceeds 1%; none satisfied this criterion, so no learning-based correction was applied to the test results. Evaluation on the UTIAS MR.CLAM dataset showed that the mean robot-wise RMSE decreased from 5.5688~m for odometry-only dead reckoning to 0.0930m for the filter-only estimator and 0.0885~m for the fixed-lag estimate, corresponding to an overall reduction of 98.41%. The fixed-lag stage provided an additional improvement of 4.58mm, or 4.92%, with a paired time-block-bootstrap 95% confidence interval of 3.34-5.50 mm. Of 33,933 processed observations, 3,669 were rejected, giving a rejection ratio of 10.81%, while the mean robot-wise 95th-percentile error was 0.1777m. The achieved accuracy supports navigation and coarse spatial association of measurements, but field validation remains necessary before claiming survey-grade cultural-heritage positioning.</w:t>
      </w:r>
    </w:p>
    <w:p>
      <w:pPr>
        <w:pStyle w:val="SubStyleBorder"/>
      </w:pPr>
      <w:bookmarkStart w:id="53" w:name="abs52"/>
      <w:r>
        <w:fldChar w:fldCharType="begin"/>
      </w:r>
      <w:r>
        <w:instrText xml:space="preserve">REF Index \h</w:instrText>
      </w:r>
      <w:r>
        <w:fldChar w:fldCharType="separate"/>
      </w:r>
      <w:r>
        <w:rPr>
          <w:color w:val="0000ff"/>
          <w:sz w:val="20"/>
          <w:szCs w:val="20"/>
        </w:rPr>
        <w:t>[4007]</w:t>
      </w:r>
      <w:r>
        <w:fldChar w:fldCharType="end"/>
      </w:r>
      <w:bookmarkEnd w:id="53"/>
      <w:r>
        <w:t xml:space="preserve"> </w:t>
      </w:r>
      <w:r>
        <w:rPr>
          <w:i/>
          <w:b/>
        </w:rPr>
        <w:t>Constraints and possibilities: ink may locally make ancient parchment unfavourable to biodeteriogens</w:t>
      </w:r>
    </w:p>
    <w:p>
      <w:pPr>
        <w:pStyle w:val="Authors"/>
      </w:pPr>
      <w:r>
        <w:t>Annamaria Alabiso</w:t>
      </w:r>
      <w:r>
        <w:t xml:space="preserve"> (</w:t>
      </w:r>
      <w:r>
        <w:rPr>
          <w:color w:val="636363"/>
          <w:sz w:val="20"/>
          <w:szCs w:val="20"/>
        </w:rPr>
        <w:t>Department of Literary, Philosophical and Art History Studies, University of Rome Tor Vergata							</w:t>
      </w:r>
      <w:r>
        <w:t>)</w:t>
      </w:r>
      <w:r>
        <w:t xml:space="preserve">, </w:t>
      </w:r>
      <w:r>
        <w:t>Giovanni Birarda</w:t>
      </w:r>
      <w:r>
        <w:t xml:space="preserve"> (</w:t>
      </w:r>
      <w:r>
        <w:rPr>
          <w:color w:val="636363"/>
          <w:sz w:val="20"/>
          <w:szCs w:val="20"/>
        </w:rPr>
        <w:t>Elettra Sincrotrone Trieste</w:t>
      </w:r>
      <w:r>
        <w:t>)</w:t>
      </w:r>
      <w:r>
        <w:t xml:space="preserve">, </w:t>
      </w:r>
      <w:r>
        <w:t>Sultan B. Dabagov</w:t>
      </w:r>
      <w:r>
        <w:t xml:space="preserve"> (</w:t>
      </w:r>
      <w:r>
        <w:rPr>
          <w:color w:val="636363"/>
          <w:sz w:val="20"/>
          <w:szCs w:val="20"/>
        </w:rPr>
        <w:t>INFN – LNF, XLab Frascati</w:t>
      </w:r>
      <w:r>
        <w:t>)</w:t>
      </w:r>
      <w:r>
        <w:t xml:space="preserve">, </w:t>
      </w:r>
      <w:r>
        <w:t>Marco Maria D'Andrea</w:t>
      </w:r>
      <w:r>
        <w:t xml:space="preserve"> (</w:t>
      </w:r>
      <w:r>
        <w:rPr>
          <w:color w:val="636363"/>
          <w:sz w:val="20"/>
          <w:szCs w:val="20"/>
        </w:rPr>
        <w:t>Department of Biology, Tor Vergata University of Rome</w:t>
      </w:r>
      <w:r>
        <w:t>)</w:t>
      </w:r>
      <w:r>
        <w:t xml:space="preserve">, </w:t>
      </w:r>
      <w:r>
        <w:t>Federico Galdenzi</w:t>
      </w:r>
      <w:r>
        <w:t xml:space="preserve"> (</w:t>
      </w:r>
      <w:r>
        <w:rPr>
          <w:color w:val="636363"/>
          <w:sz w:val="20"/>
          <w:szCs w:val="20"/>
        </w:rPr>
        <w:t>INFN – LNF, XLab Frascati, Department of Physics, Tor Vergata University of Rome</w:t>
      </w:r>
      <w:r>
        <w:t>)</w:t>
      </w:r>
      <w:r>
        <w:t xml:space="preserve">, </w:t>
      </w:r>
      <w:r>
        <w:t>Chiara Gardenghi</w:t>
      </w:r>
      <w:r>
        <w:t xml:space="preserve"> (</w:t>
      </w:r>
      <w:r>
        <w:rPr>
          <w:color w:val="636363"/>
          <w:sz w:val="20"/>
          <w:szCs w:val="20"/>
        </w:rPr>
        <w:t>Department of Biology, Tor Vergata University</w:t>
      </w:r>
      <w:r>
        <w:t>)</w:t>
      </w:r>
      <w:r>
        <w:t xml:space="preserve">, </w:t>
      </w:r>
      <w:r>
        <w:t>Valeria Guglielmotti</w:t>
      </w:r>
      <w:r>
        <w:t xml:space="preserve"> (</w:t>
      </w:r>
      <w:r>
        <w:rPr>
          <w:color w:val="636363"/>
          <w:sz w:val="20"/>
          <w:szCs w:val="20"/>
        </w:rPr>
        <w:t>Department of Chemical Science and Technologies, Tor Vergata University of Rome</w:t>
      </w:r>
      <w:r>
        <w:t>)</w:t>
      </w:r>
      <w:r>
        <w:t xml:space="preserve">, </w:t>
      </w:r>
      <w:r>
        <w:t>Dariush Hampai</w:t>
      </w:r>
      <w:r>
        <w:t xml:space="preserve"> (</w:t>
      </w:r>
      <w:r>
        <w:rPr>
          <w:color w:val="636363"/>
          <w:sz w:val="20"/>
          <w:szCs w:val="20"/>
        </w:rPr>
        <w:t>INFN – LNF, XLab Frascati</w:t>
      </w:r>
      <w:r>
        <w:t>)</w:t>
      </w:r>
      <w:r>
        <w:t xml:space="preserve">, </w:t>
      </w:r>
      <w:r>
        <w:t>Claudia Mazzuca</w:t>
      </w:r>
      <w:r>
        <w:t xml:space="preserve"> (</w:t>
      </w:r>
      <w:r>
        <w:rPr>
          <w:color w:val="636363"/>
          <w:sz w:val="20"/>
          <w:szCs w:val="20"/>
        </w:rPr>
        <w:t>Department of Chemical Science and Technologies, Tor Vergata University of Rome</w:t>
      </w:r>
      <w:r>
        <w:t>)</w:t>
      </w:r>
      <w:r>
        <w:t xml:space="preserve">, </w:t>
      </w:r>
      <w:r>
        <w:t>Fulvio Mercuri</w:t>
      </w:r>
      <w:r>
        <w:t xml:space="preserve"> (</w:t>
      </w:r>
      <w:r>
        <w:rPr>
          <w:color w:val="636363"/>
          <w:sz w:val="20"/>
          <w:szCs w:val="20"/>
        </w:rPr>
        <w:t>Department of Industrial Engineering, Tor Vergata University of Rome</w:t>
      </w:r>
      <w:r>
        <w:t>)</w:t>
      </w:r>
      <w:r>
        <w:t xml:space="preserve">, </w:t>
      </w:r>
      <w:r>
        <w:t>Noemi Orazi</w:t>
      </w:r>
      <w:r>
        <w:t xml:space="preserve"> (</w:t>
      </w:r>
      <w:r>
        <w:rPr>
          <w:color w:val="636363"/>
          <w:sz w:val="20"/>
          <w:szCs w:val="20"/>
        </w:rPr>
        <w:t>Department of Industrial Engineering, Tor Vergata University of Rome</w:t>
      </w:r>
      <w:r>
        <w:t>)</w:t>
      </w:r>
      <w:r>
        <w:t xml:space="preserve">, </w:t>
      </w:r>
      <w:r>
        <w:t>Silvia Orlanducci</w:t>
      </w:r>
      <w:r>
        <w:t xml:space="preserve"> (</w:t>
      </w:r>
      <w:r>
        <w:rPr>
          <w:color w:val="636363"/>
          <w:sz w:val="20"/>
          <w:szCs w:val="20"/>
        </w:rPr>
        <w:t>Department of Chemical Science and Technologies, Tor Vergata University of Rome</w:t>
      </w:r>
      <w:r>
        <w:t>)</w:t>
      </w:r>
      <w:r>
        <w:t xml:space="preserve">, </w:t>
      </w:r>
      <w:r>
        <w:t>Greta Ponsecchi</w:t>
      </w:r>
      <w:r>
        <w:t xml:space="preserve"> (</w:t>
      </w:r>
      <w:r>
        <w:rPr>
          <w:color w:val="636363"/>
          <w:sz w:val="20"/>
          <w:szCs w:val="20"/>
        </w:rPr>
        <w:t>Department of Biology, Tor Vergata University of Rome</w:t>
      </w:r>
      <w:r>
        <w:t>)</w:t>
      </w:r>
      <w:r>
        <w:t xml:space="preserve">, </w:t>
      </w:r>
      <w:r>
        <w:t>Alessandro Rubechini</w:t>
      </w:r>
      <w:r>
        <w:t xml:space="preserve"> (</w:t>
      </w:r>
      <w:r>
        <w:rPr>
          <w:color w:val="636363"/>
          <w:sz w:val="20"/>
          <w:szCs w:val="20"/>
        </w:rPr>
        <w:t>Laboratory of Conservation, Restoration and Bookbinding, Vatican Apostolic Archive</w:t>
      </w:r>
      <w:r>
        <w:t>)</w:t>
      </w:r>
      <w:r>
        <w:t xml:space="preserve">, </w:t>
      </w:r>
      <w:r>
        <w:t>Chiaramaria Stani</w:t>
      </w:r>
      <w:r>
        <w:t xml:space="preserve"> (</w:t>
      </w:r>
      <w:r>
        <w:rPr>
          <w:color w:val="636363"/>
          <w:sz w:val="20"/>
          <w:szCs w:val="20"/>
        </w:rPr>
        <w:t>Elettra Sincrotrone Trieste</w:t>
      </w:r>
      <w:r>
        <w:t>)</w:t>
      </w:r>
      <w:r>
        <w:t xml:space="preserve">, </w:t>
      </w:r>
      <w:r>
        <w:t>Ugo Zammit</w:t>
      </w:r>
      <w:r>
        <w:t xml:space="preserve"> (</w:t>
      </w:r>
      <w:r>
        <w:rPr>
          <w:color w:val="636363"/>
          <w:sz w:val="20"/>
          <w:szCs w:val="20"/>
        </w:rPr>
        <w:t>Department of Industrial Engineering, Tor Vergata University of Rome</w:t>
      </w:r>
      <w:r>
        <w:t>)</w:t>
      </w:r>
      <w:r>
        <w:t xml:space="preserve">, </w:t>
      </w:r>
      <w:r>
        <w:t>Luciana Migliore</w:t>
      </w:r>
      <w:r>
        <w:t xml:space="preserve"> (</w:t>
      </w:r>
      <w:r>
        <w:rPr>
          <w:color w:val="636363"/>
          <w:sz w:val="20"/>
          <w:szCs w:val="20"/>
        </w:rPr>
        <w:t>Department of Biology, Tor Vergata University of Rome</w:t>
      </w:r>
      <w:r>
        <w:t>)</w:t>
      </w:r>
      <w:r>
        <w:t xml:space="preserve">. </w:t>
      </w:r>
    </w:p>
    <w:p>
      <w:pPr>
        <w:pStyle w:val="Text"/>
      </w:pPr>
      <w:r>
        <w:t>A degraded parchment (Vatican Apostolic Archive) showing an inhibition halo around ink, was studied by a multi-disciplinary approach. Micro X-ray fluorescence, Raman and FTIR spectroscopies, Light Transmission Analysis (LTA) and DNA metabarcoding followed by Next Generation Sequencing (NGS), were combined to explore the interplay between ink composition, collagen stability and microbial biodeteriogens. In inked areas µ-XRF revealed Fe- and S-rich regions consistent with iron-gall ink composition and Zn enrichment. FTIR indicated variation in collagen structures and LTA showed increased collagen denaturation in purple-stained areas compared to the inhibition halo. NGS indicates a microbial community consistent with a late-stage colonization scenario, without detecting pioneer halophilic archaea, Halobacterium salinarum, which was identified by SERS Raman spectroscopy through signatures of bacterioruberin and bacteriorhodopsin in stained areas. The Zn presence in inhibition halo could be responsible for inhibition of H. salinarum growth. These results provide insight into the interplay of chemical and biological factors governing parchment degradation.</w:t>
      </w:r>
    </w:p>
    <w:p>
      <w:pPr>
        <w:pStyle w:val="SubStyleBorder"/>
      </w:pPr>
      <w:bookmarkStart w:id="54" w:name="abs53"/>
      <w:r>
        <w:fldChar w:fldCharType="begin"/>
      </w:r>
      <w:r>
        <w:instrText xml:space="preserve">REF Index \h</w:instrText>
      </w:r>
      <w:r>
        <w:fldChar w:fldCharType="separate"/>
      </w:r>
      <w:r>
        <w:rPr>
          <w:color w:val="0000ff"/>
          <w:sz w:val="20"/>
          <w:szCs w:val="20"/>
        </w:rPr>
        <w:t>[4070]</w:t>
      </w:r>
      <w:r>
        <w:fldChar w:fldCharType="end"/>
      </w:r>
      <w:bookmarkEnd w:id="54"/>
      <w:r>
        <w:t xml:space="preserve"> </w:t>
      </w:r>
      <w:r>
        <w:rPr>
          <w:i/>
          <w:b/>
        </w:rPr>
        <w:t>Hybrid Deep &amp; Machine Learning Clustering for InSAR-Based Cultural Heritage Monitoring</w:t>
      </w:r>
    </w:p>
    <w:p>
      <w:pPr>
        <w:pStyle w:val="Authors"/>
      </w:pPr>
      <w:r>
        <w:t>Sandropio Scoccola</w:t>
      </w:r>
      <w:r>
        <w:t xml:space="preserve"> (</w:t>
      </w:r>
      <w:r>
        <w:rPr>
          <w:color w:val="636363"/>
          <w:sz w:val="20"/>
          <w:szCs w:val="20"/>
        </w:rPr>
        <w:t>University of Molise</w:t>
      </w:r>
      <w:r>
        <w:t>)</w:t>
      </w:r>
      <w:r>
        <w:t xml:space="preserve">, </w:t>
      </w:r>
      <w:r>
        <w:t>Tony Fierro</w:t>
      </w:r>
      <w:r>
        <w:t xml:space="preserve"> (</w:t>
      </w:r>
      <w:r>
        <w:rPr>
          <w:color w:val="636363"/>
          <w:sz w:val="20"/>
          <w:szCs w:val="20"/>
        </w:rPr>
        <w:t>University of Molise</w:t>
      </w:r>
      <w:r>
        <w:t>)</w:t>
      </w:r>
      <w:r>
        <w:t xml:space="preserve">, </w:t>
      </w:r>
      <w:r>
        <w:t>Antonio Sandoli</w:t>
      </w:r>
      <w:r>
        <w:t xml:space="preserve"> (</w:t>
      </w:r>
      <w:r>
        <w:rPr>
          <w:color w:val="636363"/>
          <w:sz w:val="20"/>
          <w:szCs w:val="20"/>
        </w:rPr>
        <w:t>University of Molise</w:t>
      </w:r>
      <w:r>
        <w:t>)</w:t>
      </w:r>
      <w:r>
        <w:t xml:space="preserve">. </w:t>
      </w:r>
    </w:p>
    <w:p>
      <w:pPr>
        <w:pStyle w:val="Text"/>
      </w:pPr>
      <w:r>
        <w:t>The adoption of emerging technologies for monitoring of cultural heritage assets, such as those based on remote sensing, has become a priority for conservation purposes. This paper deals with the integration of hybrid machine &amp; deep learning algorithms to enhance Persistent Scatterers (PS) interferometry-based monitoring. In particular, the paper explores the effectiveness of the unsupervised K-means algorithm for automatic clustering generation of PSs coming from satellite interferometry measurements, after the adoption of neural network to classify the features. The proposed workflow was applied to the archaeological area of Serapis Temple in Pozzuoli (Italy).</w:t>
      </w:r>
    </w:p>
    <w:p>
      <w:pPr>
        <w:pStyle w:val="SubStyleBorder"/>
      </w:pPr>
      <w:bookmarkStart w:id="55" w:name="abs54"/>
      <w:r>
        <w:fldChar w:fldCharType="begin"/>
      </w:r>
      <w:r>
        <w:instrText xml:space="preserve">REF Index \h</w:instrText>
      </w:r>
      <w:r>
        <w:fldChar w:fldCharType="separate"/>
      </w:r>
      <w:r>
        <w:rPr>
          <w:color w:val="0000ff"/>
          <w:sz w:val="20"/>
          <w:szCs w:val="20"/>
        </w:rPr>
        <w:t>[4178]</w:t>
      </w:r>
      <w:r>
        <w:fldChar w:fldCharType="end"/>
      </w:r>
      <w:bookmarkEnd w:id="55"/>
      <w:r>
        <w:t xml:space="preserve"> </w:t>
      </w:r>
      <w:r>
        <w:rPr>
          <w:i/>
          <w:b/>
        </w:rPr>
        <w:t>Macro-Meso-Micro: integrated ERT and GPR investigation of the hypogeal heritage of Santa Luciella ai Librai (Naples, Italy)</w:t>
      </w:r>
    </w:p>
    <w:p>
      <w:pPr>
        <w:pStyle w:val="Authors"/>
      </w:pPr>
      <w:r>
        <w:t>Michele Punzo</w:t>
      </w:r>
      <w:r>
        <w:t xml:space="preserve"> (</w:t>
      </w:r>
      <w:r>
        <w:rPr>
          <w:color w:val="636363"/>
          <w:sz w:val="20"/>
          <w:szCs w:val="20"/>
        </w:rPr>
        <w:t>Institute of Heritage Sciences (ISPC-CNR)</w:t>
      </w:r>
      <w:r>
        <w:t>)</w:t>
      </w:r>
      <w:r>
        <w:t xml:space="preserve">, </w:t>
      </w:r>
      <w:r>
        <w:t>Dora Francesca Barbolla</w:t>
      </w:r>
      <w:r>
        <w:t xml:space="preserve"> (</w:t>
      </w:r>
      <w:r>
        <w:rPr>
          <w:color w:val="636363"/>
          <w:sz w:val="20"/>
          <w:szCs w:val="20"/>
        </w:rPr>
        <w:t>Institute of Heritage Science (ISPC-CNR)</w:t>
      </w:r>
      <w:r>
        <w:t>)</w:t>
      </w:r>
      <w:r>
        <w:t xml:space="preserve">, </w:t>
      </w:r>
      <w:r>
        <w:t>Vincenzo Di Fiore</w:t>
      </w:r>
      <w:r>
        <w:t xml:space="preserve"> (</w:t>
      </w:r>
      <w:r>
        <w:rPr>
          <w:color w:val="636363"/>
          <w:sz w:val="20"/>
          <w:szCs w:val="20"/>
        </w:rPr>
        <w:t>Institute of Heritage Science (ISPC-CNR)</w:t>
      </w:r>
      <w:r>
        <w:t>)</w:t>
      </w:r>
      <w:r>
        <w:t xml:space="preserve">, </w:t>
      </w:r>
      <w:r>
        <w:t>Michele Iavarone</w:t>
      </w:r>
      <w:r>
        <w:t xml:space="preserve"> (</w:t>
      </w:r>
      <w:r>
        <w:rPr>
          <w:color w:val="636363"/>
          <w:sz w:val="20"/>
          <w:szCs w:val="20"/>
        </w:rPr>
        <w:t>Institute of Marine Sciences (ISMAR)</w:t>
      </w:r>
      <w:r>
        <w:t>)</w:t>
      </w:r>
      <w:r>
        <w:t xml:space="preserve">, </w:t>
      </w:r>
      <w:r>
        <w:t>Massimo Faella</w:t>
      </w:r>
      <w:r>
        <w:t xml:space="preserve"> (</w:t>
      </w:r>
      <w:r>
        <w:rPr>
          <w:color w:val="636363"/>
          <w:sz w:val="20"/>
          <w:szCs w:val="20"/>
        </w:rPr>
        <w:t>Associazione Culturale Respiriamo Arte</w:t>
      </w:r>
      <w:r>
        <w:t>)</w:t>
      </w:r>
      <w:r>
        <w:t xml:space="preserve">, </w:t>
      </w:r>
      <w:r>
        <w:t>Alfonsina Pagano</w:t>
      </w:r>
      <w:r>
        <w:t xml:space="preserve"> (</w:t>
      </w:r>
      <w:r>
        <w:rPr>
          <w:color w:val="636363"/>
          <w:sz w:val="20"/>
          <w:szCs w:val="20"/>
        </w:rPr>
        <w:t>Institute of Heritage Science (ISPC-CNR)</w:t>
      </w:r>
      <w:r>
        <w:t>)</w:t>
      </w:r>
      <w:r>
        <w:t xml:space="preserve">, </w:t>
      </w:r>
      <w:r>
        <w:t>Daniela Tarallo</w:t>
      </w:r>
      <w:r>
        <w:t xml:space="preserve"> (</w:t>
      </w:r>
      <w:r>
        <w:rPr>
          <w:color w:val="636363"/>
          <w:sz w:val="20"/>
          <w:szCs w:val="20"/>
        </w:rPr>
        <w:t>Institute of Heritage Science (ISPC-CNR)</w:t>
      </w:r>
      <w:r>
        <w:t>)</w:t>
      </w:r>
      <w:r>
        <w:t xml:space="preserve">. </w:t>
      </w:r>
    </w:p>
    <w:p>
      <w:pPr>
        <w:pStyle w:val="Text"/>
      </w:pPr>
      <w:r>
        <w:t>This paper presents a multi-scale geophysical investigation carried out within the hypogeal environment of Santa Luciella ai Librai (Naples, Italy). The study integrates Electrical Resistivity Tomography (ERT) and high-frequency Ground Penetrating Radar (GPR) surveys applied at different spatial scales, including an underground corridor, a frescoed masonry wall, and a shallow pavement sector of the crypt. The proposed Macro–Meso–Micro framework combines geoelectrical and electromagnetic datasets to investigate the spatial organization of physical heterogeneities within a complex underground environment. The results reveal coherent resistivity contrasts, persistent radar responses, and laterally organized geophysical patterns associated with variations in moisture conditions, masonry texture, and subsurface physical properties. Rather than focusing on the direct identification of archaeological targets, the proposed approach emphasizes the non-invasive spatial reading of hidden architectural systems through integrated multi-scale imaging. The Santa Luciella case study demonstrates the potential of geophysical methods as effective tools for the documentation, interpretation, and visualization of complex hypogeal cultural heritage environments.</w:t>
      </w:r>
    </w:p>
    <w:p>
      <w:pPr>
        <w:pStyle w:val="SubStyleBorder"/>
      </w:pPr>
      <w:bookmarkStart w:id="56" w:name="abs55"/>
      <w:r>
        <w:fldChar w:fldCharType="begin"/>
      </w:r>
      <w:r>
        <w:instrText xml:space="preserve">REF Index \h</w:instrText>
      </w:r>
      <w:r>
        <w:fldChar w:fldCharType="separate"/>
      </w:r>
      <w:r>
        <w:rPr>
          <w:color w:val="0000ff"/>
          <w:sz w:val="20"/>
          <w:szCs w:val="20"/>
        </w:rPr>
        <w:t>[4219]</w:t>
      </w:r>
      <w:r>
        <w:fldChar w:fldCharType="end"/>
      </w:r>
      <w:bookmarkEnd w:id="56"/>
      <w:r>
        <w:t xml:space="preserve"> </w:t>
      </w:r>
      <w:r>
        <w:rPr>
          <w:i/>
          <w:b/>
        </w:rPr>
        <w:t>Updating the finite element model of a RC bell tower via Bayesian inference and vibration test results</w:t>
      </w:r>
    </w:p>
    <w:p>
      <w:pPr>
        <w:pStyle w:val="Authors"/>
      </w:pPr>
      <w:r>
        <w:t>Dora Foti</w:t>
      </w:r>
      <w:r>
        <w:t xml:space="preserve"> (</w:t>
      </w:r>
      <w:r>
        <w:rPr>
          <w:color w:val="636363"/>
          <w:sz w:val="20"/>
          <w:szCs w:val="20"/>
        </w:rPr>
        <w:t>Polytechnic University of Bari</w:t>
      </w:r>
      <w:r>
        <w:t>)</w:t>
      </w:r>
      <w:r>
        <w:t xml:space="preserve">, </w:t>
      </w:r>
      <w:r>
        <w:t>Lorenzo Scoditti</w:t>
      </w:r>
      <w:r>
        <w:t xml:space="preserve"> (</w:t>
      </w:r>
      <w:r>
        <w:rPr>
          <w:color w:val="636363"/>
          <w:sz w:val="20"/>
          <w:szCs w:val="20"/>
        </w:rPr>
        <w:t>Polytechnic University of Bari</w:t>
      </w:r>
      <w:r>
        <w:t>)</w:t>
      </w:r>
      <w:r>
        <w:t xml:space="preserve">, </w:t>
      </w:r>
      <w:r>
        <w:t>Armando La Scala</w:t>
      </w:r>
      <w:r>
        <w:t xml:space="preserve"> (</w:t>
      </w:r>
      <w:r>
        <w:rPr>
          <w:color w:val="636363"/>
          <w:sz w:val="20"/>
          <w:szCs w:val="20"/>
        </w:rPr>
        <w:t>Politecnico di Bari</w:t>
      </w:r>
      <w:r>
        <w:t>)</w:t>
      </w:r>
      <w:r>
        <w:t xml:space="preserve">, </w:t>
      </w:r>
      <w:r>
        <w:t>Antonino Maria Marra</w:t>
      </w:r>
      <w:r>
        <w:t xml:space="preserve"> (</w:t>
      </w:r>
      <w:r>
        <w:rPr>
          <w:color w:val="636363"/>
          <w:sz w:val="20"/>
          <w:szCs w:val="20"/>
        </w:rPr>
        <w:t>University of Florence</w:t>
      </w:r>
      <w:r>
        <w:t>)</w:t>
      </w:r>
      <w:r>
        <w:t xml:space="preserve">, </w:t>
      </w:r>
      <w:r>
        <w:t>Mario De Stefano</w:t>
      </w:r>
      <w:r>
        <w:t xml:space="preserve"> (</w:t>
      </w:r>
      <w:r>
        <w:rPr>
          <w:color w:val="636363"/>
          <w:sz w:val="20"/>
          <w:szCs w:val="20"/>
        </w:rPr>
        <w:t>University of Florence</w:t>
      </w:r>
      <w:r>
        <w:t>)</w:t>
      </w:r>
      <w:r>
        <w:t xml:space="preserve">. </w:t>
      </w:r>
    </w:p>
    <w:p>
      <w:pPr>
        <w:pStyle w:val="Text"/>
      </w:pPr>
      <w:r>
        <w:t>The reliable estimation of concrete mechanical properties is essential for developing accurate finite element models of existing reinforced concrete structures. Conventional approaches combine destructive and non-destructive tests, affected by different levels of uncertainty. Among non-destructive techniques, vibration testing provides valuable data for model calibration and helps detect structural anomalies.
This study presents a Bayesian model updating procedure based on full-scale vibration testing, explicitly accounting for both measurement errors and modeling uncertainties in the likelihood function. The method is applied to an existing reinforced concrete bell tower of the Church of Santa Maria Assunta in Lamadacqua, Noci (Bari, Italy), to update the elastic modulus of aged concrete. Ambient vibration tests, recorded through accelerometers, were used to identify natural frequencies and mode shapes.</w:t>
      </w:r>
    </w:p>
    <w:p>
      <w:pPr>
        <w:pStyle w:val="SubStyleBorder"/>
      </w:pPr>
      <w:bookmarkStart w:id="57" w:name="abs56"/>
      <w:r>
        <w:fldChar w:fldCharType="begin"/>
      </w:r>
      <w:r>
        <w:instrText xml:space="preserve">REF Index \h</w:instrText>
      </w:r>
      <w:r>
        <w:fldChar w:fldCharType="separate"/>
      </w:r>
      <w:r>
        <w:rPr>
          <w:color w:val="0000ff"/>
          <w:sz w:val="20"/>
          <w:szCs w:val="20"/>
        </w:rPr>
        <w:t>[4436]</w:t>
      </w:r>
      <w:r>
        <w:fldChar w:fldCharType="end"/>
      </w:r>
      <w:bookmarkEnd w:id="57"/>
      <w:r>
        <w:t xml:space="preserve"> </w:t>
      </w:r>
      <w:r>
        <w:rPr>
          <w:i/>
          <w:b/>
        </w:rPr>
        <w:t>Non-invasive methodological approach for provenance bone painting analysis in the funerary cavities of Montorio, Burgos</w:t>
      </w:r>
    </w:p>
    <w:p>
      <w:pPr>
        <w:pStyle w:val="Authors"/>
      </w:pPr>
      <w:r>
        <w:t>Giorgio Senesi</w:t>
      </w:r>
      <w:r>
        <w:t xml:space="preserve"> (</w:t>
      </w:r>
      <w:r>
        <w:rPr>
          <w:color w:val="636363"/>
          <w:sz w:val="20"/>
          <w:szCs w:val="20"/>
        </w:rPr>
        <w:t>CNR - Istituto per la Scienza e Tecnologia dei Plasmi (ISTP) - sede di Bari</w:t>
      </w:r>
      <w:r>
        <w:t>)</w:t>
      </w:r>
      <w:r>
        <w:t xml:space="preserve">, </w:t>
      </w:r>
      <w:r>
        <w:t>Olga De Pascale</w:t>
      </w:r>
      <w:r>
        <w:t xml:space="preserve"> (</w:t>
      </w:r>
      <w:r>
        <w:rPr>
          <w:color w:val="636363"/>
          <w:sz w:val="20"/>
          <w:szCs w:val="20"/>
        </w:rPr>
        <w:t>CNR - Istituto per la Scienza e Tecnologia dei Plasmi (ISTP) - sede di Bari</w:t>
      </w:r>
      <w:r>
        <w:t>)</w:t>
      </w:r>
      <w:r>
        <w:t xml:space="preserve">, </w:t>
      </w:r>
      <w:r>
        <w:t>Bruno Marangoni</w:t>
      </w:r>
      <w:r>
        <w:t xml:space="preserve"> (</w:t>
      </w:r>
      <w:r>
        <w:rPr>
          <w:color w:val="636363"/>
          <w:sz w:val="20"/>
          <w:szCs w:val="20"/>
        </w:rPr>
        <w:t>UFMS - Universidade Federal de Mato Grosso do Sul</w:t>
      </w:r>
      <w:r>
        <w:t>)</w:t>
      </w:r>
      <w:r>
        <w:t xml:space="preserve">, </w:t>
      </w:r>
      <w:r>
        <w:t>Ana Isabel Ortega Martínez</w:t>
      </w:r>
      <w:r>
        <w:t xml:space="preserve"> (</w:t>
      </w:r>
      <w:r>
        <w:rPr>
          <w:color w:val="636363"/>
          <w:sz w:val="20"/>
          <w:szCs w:val="20"/>
        </w:rPr>
        <w:t>Real Academia Burgense de Historia y Bellas Artes. Institución Fernán González</w:t>
      </w:r>
      <w:r>
        <w:t>)</w:t>
      </w:r>
      <w:r>
        <w:t xml:space="preserve">, </w:t>
      </w:r>
      <w:r>
        <w:t>Ana Álvaro Gallo</w:t>
      </w:r>
      <w:r>
        <w:t xml:space="preserve"> (</w:t>
      </w:r>
      <w:r>
        <w:rPr>
          <w:color w:val="636363"/>
          <w:sz w:val="20"/>
          <w:szCs w:val="20"/>
        </w:rPr>
        <w:t>Centro Nacional de Investigación sobre la Evolución Humana (CENIEH)</w:t>
      </w:r>
      <w:r>
        <w:t>)</w:t>
      </w:r>
      <w:r>
        <w:t xml:space="preserve">, </w:t>
      </w:r>
      <w:r>
        <w:t>Carlos Saiz</w:t>
      </w:r>
      <w:r>
        <w:t xml:space="preserve"> (</w:t>
      </w:r>
      <w:r>
        <w:rPr>
          <w:color w:val="636363"/>
          <w:sz w:val="20"/>
          <w:szCs w:val="20"/>
        </w:rPr>
        <w:t>Centro Nacional de Investigación sobre la Evolución Humana (CENIEH)</w:t>
      </w:r>
      <w:r>
        <w:t>)</w:t>
      </w:r>
      <w:r>
        <w:t xml:space="preserve">, </w:t>
      </w:r>
      <w:r>
        <w:t>Ana B. Marín-Arroyo</w:t>
      </w:r>
      <w:r>
        <w:t xml:space="preserve"> (</w:t>
      </w:r>
      <w:r>
        <w:rPr>
          <w:color w:val="636363"/>
          <w:sz w:val="20"/>
          <w:szCs w:val="20"/>
        </w:rPr>
        <w:t>Grupo EvoAdapta, Departamento de Ciencias Históricas, Universidad de Cantabria</w:t>
      </w:r>
      <w:r>
        <w:t>)</w:t>
      </w:r>
      <w:r>
        <w:t xml:space="preserve">, </w:t>
      </w:r>
      <w:r>
        <w:t>Maria Luisa Cervera Sanz</w:t>
      </w:r>
      <w:r>
        <w:t xml:space="preserve"> (</w:t>
      </w:r>
      <w:r>
        <w:rPr>
          <w:color w:val="636363"/>
          <w:sz w:val="20"/>
          <w:szCs w:val="20"/>
        </w:rPr>
        <w:t>Department of Analytical Chemistry, University of Valencia</w:t>
      </w:r>
      <w:r>
        <w:t>)</w:t>
      </w:r>
      <w:r>
        <w:t xml:space="preserve">, </w:t>
      </w:r>
      <w:r>
        <w:t>Eva Soriano Vega</w:t>
      </w:r>
      <w:r>
        <w:t xml:space="preserve"> (</w:t>
      </w:r>
      <w:r>
        <w:rPr>
          <w:color w:val="636363"/>
          <w:sz w:val="20"/>
          <w:szCs w:val="20"/>
        </w:rPr>
        <w:t>Central Service for Experimental Research (SCSIE)</w:t>
      </w:r>
      <w:r>
        <w:t>)</w:t>
      </w:r>
      <w:r>
        <w:t xml:space="preserve">, </w:t>
      </w:r>
      <w:r>
        <w:t>Gianni Gallello</w:t>
      </w:r>
      <w:r>
        <w:t xml:space="preserve"> (</w:t>
      </w:r>
      <w:r>
        <w:rPr>
          <w:color w:val="636363"/>
          <w:sz w:val="20"/>
          <w:szCs w:val="20"/>
        </w:rPr>
        <w:t>Institute of Material Science and Department of Prehistory, Archaeology and Ancient History, University of Valencia</w:t>
      </w:r>
      <w:r>
        <w:t>)</w:t>
      </w:r>
      <w:r>
        <w:t xml:space="preserve">. </w:t>
      </w:r>
    </w:p>
    <w:p>
      <w:pPr>
        <w:pStyle w:val="Text"/>
      </w:pPr>
      <w:r>
        <w:t>Two advanced micro-destructive analytical techniques, i.e., Laser Ablation - Inductively Coupled Plasma - Mass Spectrometry (LA-ICP-MS) and handheld Laser-Induced Breakdown Spectroscopy (hLIBS) have been applied to identify the elemental composition of red pigments on seven human bone remains collected during the 2022 archaeological campaign from La Quebrantada Cave in the funerary cavities of Montorio (Burgos), Spain. Seven bone samples, selected based on the geochemical classification of the presence of cinnabar (HgS), have been analysed. Three bones featured a high presence of HgS, one sample a medium presence of HgS and the other three samples a high presence of iron oxides. Trace and rare earth elements (REE) were determined by LA-ICP-MS and hLIBS in order to identify the origin of pigments based on ocher and cinnabar. The two techniques used were able to provide comparable data, thus confirming to be powerful means to be applied in outdoor archaeology and archaeometry campaigns.</w:t>
      </w:r>
    </w:p>
    <w:p>
      <w:pPr>
        <w:pStyle w:val="SubStyleBorder"/>
      </w:pPr>
      <w:bookmarkStart w:id="58" w:name="abs57"/>
      <w:r>
        <w:fldChar w:fldCharType="begin"/>
      </w:r>
      <w:r>
        <w:instrText xml:space="preserve">REF Index \h</w:instrText>
      </w:r>
      <w:r>
        <w:fldChar w:fldCharType="separate"/>
      </w:r>
      <w:r>
        <w:rPr>
          <w:color w:val="0000ff"/>
          <w:sz w:val="20"/>
          <w:szCs w:val="20"/>
        </w:rPr>
        <w:t>[4439]</w:t>
      </w:r>
      <w:r>
        <w:fldChar w:fldCharType="end"/>
      </w:r>
      <w:bookmarkEnd w:id="58"/>
      <w:r>
        <w:t xml:space="preserve"> </w:t>
      </w:r>
      <w:r>
        <w:rPr>
          <w:i/>
          <w:b/>
        </w:rPr>
        <w:t>Assessing the Structural Influence of Historic Bells on the Belfry of the Santa Pola Fortress (Spain): Implications for Heritage Conservation</w:t>
      </w:r>
    </w:p>
    <w:p>
      <w:pPr>
        <w:pStyle w:val="Authors"/>
      </w:pPr>
      <w:r>
        <w:t>Salvador Ivorra</w:t>
      </w:r>
      <w:r>
        <w:t xml:space="preserve"> (</w:t>
      </w:r>
      <w:r>
        <w:rPr>
          <w:color w:val="636363"/>
          <w:sz w:val="20"/>
          <w:szCs w:val="20"/>
        </w:rPr>
        <w:t>Universidad de Alicante</w:t>
      </w:r>
      <w:r>
        <w:t>)</w:t>
      </w:r>
      <w:r>
        <w:t xml:space="preserve">, </w:t>
      </w:r>
      <w:r>
        <w:t>Benjamin Torres</w:t>
      </w:r>
      <w:r>
        <w:t xml:space="preserve"> (</w:t>
      </w:r>
      <w:r>
        <w:rPr>
          <w:color w:val="636363"/>
          <w:sz w:val="20"/>
          <w:szCs w:val="20"/>
        </w:rPr>
        <w:t>Universidad de Alicante</w:t>
      </w:r>
      <w:r>
        <w:t>)</w:t>
      </w:r>
      <w:r>
        <w:t xml:space="preserve">, </w:t>
      </w:r>
      <w:r>
        <w:t>David Bru</w:t>
      </w:r>
      <w:r>
        <w:t xml:space="preserve"> (</w:t>
      </w:r>
      <w:r>
        <w:rPr>
          <w:color w:val="636363"/>
          <w:sz w:val="20"/>
          <w:szCs w:val="20"/>
        </w:rPr>
        <w:t>Universidad de Alicante</w:t>
      </w:r>
      <w:r>
        <w:t>)</w:t>
      </w:r>
      <w:r>
        <w:t xml:space="preserve">, </w:t>
      </w:r>
      <w:r>
        <w:t>Antonio Marco</w:t>
      </w:r>
      <w:r>
        <w:t xml:space="preserve"> (</w:t>
      </w:r>
      <w:r>
        <w:rPr>
          <w:color w:val="636363"/>
          <w:sz w:val="20"/>
          <w:szCs w:val="20"/>
        </w:rPr>
        <w:t>A-Ingenia Research &amp; Consulting</w:t>
      </w:r>
      <w:r>
        <w:t>)</w:t>
      </w:r>
      <w:r>
        <w:t xml:space="preserve">. </w:t>
      </w:r>
    </w:p>
    <w:p>
      <w:pPr>
        <w:pStyle w:val="Text"/>
      </w:pPr>
      <w:r>
        <w:t>The conservation of architectural heritage frequently requires decisions to be taken under conditions of uncertainty, particularly when structural damage affects historically significant elements that remain in service. In such situations, incorrect diagnosis may lead to unnecessary or even irreversible interventions, compromising both the material authenticity and the cultural significance of the monument. This paper presents the case of the historic belfry of the Santa Pola Fortress (Alicante, Spain), a sixteenth-century fortified monument legally protected as a Bien de Interés Cultural (Asset of Cultural Interest), where the appearance of severe cracking raised concerns about the structural safety of the bell system and prompted proposals advocating the removal of the bells.</w:t>
      </w:r>
    </w:p>
    <w:p>
      <w:pPr>
        <w:pStyle w:val="Text"/>
      </w:pPr>
      <w:r>
        <w:t>At first sight, the presence of large cracks around the bell supports appeared to support the hypothesis that vibrations generated by the hourly ringing system were responsible for the observed deterioration. However, the complexity of historic structures requires a more rigorous approach than the simple association between visible damage and the presence of dynamic actions. The study demonstrates the importance of combining structural mechanics, conservation engineering, pathology of historic masonry, and knowledge accumulated through decades of research on bell–tower interaction before establishing causal relationships and defining intervention strategies.</w:t>
      </w:r>
    </w:p>
    <w:p>
      <w:pPr>
        <w:pStyle w:val="Text"/>
      </w:pPr>
      <w:r>
        <w:t>The assessment was based on the interpretation of recent diagnostic investigations, historical documentation, constructive analysis of the support system, and a critical review of the scientific literature concerning the dynamic behaviour of bell towers and belfries. Particular attention was given to the distinction between swinging bells, known to generate significant inertial forces and dynamic amplification effects, and fixed clock bells activated by external hammers. The analysis revealed that the bells installed in the Santa Pola belfry operate as fixed clock bells and therefore do not generate the dynamic actions typically associated with structural damage in bell towers. Conversely, the evidence pointed towards deterioration mechanisms related to corrosion-induced expansion of metallic anchors, incompatible repair materials, local deficiencies in the support system, and long-term degradation of the historic fabric.</w:t>
      </w:r>
    </w:p>
    <w:p>
      <w:pPr>
        <w:pStyle w:val="Text"/>
      </w:pPr>
      <w:r>
        <w:t>Beyond the technical diagnosis, the case highlights a broader conservation issue: the need for experienced multidisciplinary assessment before adopting measures that may affect heritage assets. The bells constitute an integral component of the monument’s historical identity and functional authenticity, while bell ringing itself forms part of a cultural tradition internationally recognised as Intangible Cultural Heritage. Consequently, the study argues that conservation strategies should prioritise understanding the actual causes of damage, correcting pathological constructive details, and preserving historically significant elements whenever compatible with structural safety.</w:t>
      </w:r>
    </w:p>
    <w:p>
      <w:pPr>
        <w:pStyle w:val="Text"/>
      </w:pPr>
      <w:r>
        <w:t>The Santa Pola Fortress case demonstrates how engineering expertise, evidence-based diagnosis, and heritage-sensitive decision-making can prevent inappropriate interventions and contribute to more sustainable conservation practices for historic masonry monuments: The most dangerous pathology in heritage structures is sometimes not the crack itself, but an incorrect diagnosis of its origin.</w:t>
      </w:r>
    </w:p>
    <w:p>
      <w:pPr>
        <w:pStyle w:val="SubStyleBorder"/>
      </w:pPr>
      <w:bookmarkStart w:id="59" w:name="abs58"/>
      <w:r>
        <w:fldChar w:fldCharType="begin"/>
      </w:r>
      <w:r>
        <w:instrText xml:space="preserve">REF Index \h</w:instrText>
      </w:r>
      <w:r>
        <w:fldChar w:fldCharType="separate"/>
      </w:r>
      <w:r>
        <w:rPr>
          <w:color w:val="0000ff"/>
          <w:sz w:val="20"/>
          <w:szCs w:val="20"/>
        </w:rPr>
        <w:t>[4605]</w:t>
      </w:r>
      <w:r>
        <w:fldChar w:fldCharType="end"/>
      </w:r>
      <w:bookmarkEnd w:id="59"/>
      <w:r>
        <w:t xml:space="preserve"> </w:t>
      </w:r>
      <w:r>
        <w:rPr>
          <w:i/>
          <w:b/>
        </w:rPr>
        <w:t>Why Did the Nuraghe Collapse? New insights from integration of Archaeology and Geophysics</w:t>
      </w:r>
    </w:p>
    <w:p>
      <w:pPr>
        <w:pStyle w:val="Authors"/>
      </w:pPr>
      <w:r>
        <w:t>Gaetano Ranieri</w:t>
      </w:r>
      <w:r>
        <w:t xml:space="preserve"> (</w:t>
      </w:r>
      <w:r>
        <w:rPr>
          <w:color w:val="636363"/>
          <w:sz w:val="20"/>
          <w:szCs w:val="20"/>
        </w:rPr>
        <w:t>University of Cagliari</w:t>
      </w:r>
      <w:r>
        <w:t>)</w:t>
      </w:r>
      <w:r>
        <w:t xml:space="preserve">, </w:t>
      </w:r>
      <w:r>
        <w:t>Alberto Godio</w:t>
      </w:r>
      <w:r>
        <w:t xml:space="preserve"> (</w:t>
      </w:r>
      <w:r>
        <w:rPr>
          <w:color w:val="636363"/>
          <w:sz w:val="20"/>
          <w:szCs w:val="20"/>
        </w:rPr>
        <w:t>Politechnical University Turin</w:t>
      </w:r>
      <w:r>
        <w:t>)</w:t>
      </w:r>
      <w:r>
        <w:t xml:space="preserve">, </w:t>
      </w:r>
      <w:r>
        <w:t>Luca Piroddi</w:t>
      </w:r>
      <w:r>
        <w:t xml:space="preserve"> (</w:t>
      </w:r>
      <w:r>
        <w:rPr>
          <w:color w:val="636363"/>
          <w:sz w:val="20"/>
          <w:szCs w:val="20"/>
        </w:rPr>
        <w:t>University of Cagliari</w:t>
      </w:r>
      <w:r>
        <w:t>)</w:t>
      </w:r>
      <w:r>
        <w:t xml:space="preserve">, </w:t>
      </w:r>
      <w:r>
        <w:t>Antonio Trogu</w:t>
      </w:r>
      <w:r>
        <w:t xml:space="preserve"> (</w:t>
      </w:r>
      <w:r>
        <w:rPr>
          <w:color w:val="636363"/>
          <w:sz w:val="20"/>
          <w:szCs w:val="20"/>
        </w:rPr>
        <w:t>University of Cagliari</w:t>
      </w:r>
      <w:r>
        <w:t>)</w:t>
      </w:r>
      <w:r>
        <w:t xml:space="preserve">, </w:t>
      </w:r>
      <w:r>
        <w:t>Albert Casas</w:t>
      </w:r>
      <w:r>
        <w:t xml:space="preserve"> (</w:t>
      </w:r>
      <w:r>
        <w:rPr>
          <w:color w:val="636363"/>
          <w:sz w:val="20"/>
          <w:szCs w:val="20"/>
        </w:rPr>
        <w:t>University of Barcelona</w:t>
      </w:r>
      <w:r>
        <w:t>)</w:t>
      </w:r>
      <w:r>
        <w:t xml:space="preserve">. </w:t>
      </w:r>
    </w:p>
    <w:p>
      <w:pPr>
        <w:pStyle w:val="Text"/>
      </w:pPr>
      <w:r>
        <w:t>The discovery of the Mont'e Prama statues in central-western Sardinia revealed one of the most important Nuragic archaeological complexes in the Mediterranean, including monumental sculptures, tombs, betyls, and nuraghe models. Since 2012, integrated archaeological and geophysical investigations have expanded the known extent of the site from a few excavated areas to more than 16.5 hectares, identifying additional tombs, buildings, roads, and possible urban and ceremonial structures. Advanced geophysical surveys conducted within the nearby Cabras pond unexpectedly detected several submerged structures interpreted as nuraghe, some preserved with architectural features absent from surface examples. Their burial beneath thick sediment deposits raises questions about the environmental history of the region. Combined archaeological, geological and geophysical evidence suggests that major climatic or geological events during the Late Bronze Age may have contributed to landscape transformation, site abandonment, and the widespread collapse of Nuragic monuments in western Sardinia.</w:t>
      </w:r>
    </w:p>
    <w:p>
      <w:pPr>
        <w:pStyle w:val="SubStyleBorder"/>
      </w:pPr>
      <w:bookmarkStart w:id="60" w:name="abs59"/>
      <w:r>
        <w:fldChar w:fldCharType="begin"/>
      </w:r>
      <w:r>
        <w:instrText xml:space="preserve">REF Index \h</w:instrText>
      </w:r>
      <w:r>
        <w:fldChar w:fldCharType="separate"/>
      </w:r>
      <w:r>
        <w:rPr>
          <w:color w:val="0000ff"/>
          <w:sz w:val="20"/>
          <w:szCs w:val="20"/>
        </w:rPr>
        <w:t>[4750]</w:t>
      </w:r>
      <w:r>
        <w:fldChar w:fldCharType="end"/>
      </w:r>
      <w:bookmarkEnd w:id="60"/>
      <w:r>
        <w:t xml:space="preserve"> </w:t>
      </w:r>
      <w:r>
        <w:rPr>
          <w:i/>
          <w:b/>
        </w:rPr>
        <w:t>Integrated 3D Survey of the Cathedral of Crotone Using Ground-Based and Aerial Photogrammetric High-Resolution Technologies</w:t>
      </w:r>
    </w:p>
    <w:p>
      <w:pPr>
        <w:pStyle w:val="Authors"/>
      </w:pPr>
      <w:r>
        <w:t>Marco Di Lieto</w:t>
      </w:r>
      <w:r>
        <w:t xml:space="preserve"> (</w:t>
      </w:r>
      <w:r>
        <w:rPr>
          <w:color w:val="636363"/>
          <w:sz w:val="20"/>
          <w:szCs w:val="20"/>
        </w:rPr>
        <w:t>Di Lieto &amp; C. Srl, Catanzaro</w:t>
      </w:r>
      <w:r>
        <w:t>)</w:t>
      </w:r>
      <w:r>
        <w:t xml:space="preserve">, </w:t>
      </w:r>
      <w:r>
        <w:t>Gregory De Martino</w:t>
      </w:r>
      <w:r>
        <w:t xml:space="preserve"> (</w:t>
      </w:r>
      <w:r>
        <w:rPr>
          <w:color w:val="636363"/>
          <w:sz w:val="20"/>
          <w:szCs w:val="20"/>
        </w:rPr>
        <w:t>National Research Council - Institute of Methodologies for Environmental Analysis</w:t>
      </w:r>
      <w:r>
        <w:t>)</w:t>
      </w:r>
      <w:r>
        <w:t xml:space="preserve">, </w:t>
      </w:r>
      <w:r>
        <w:t>Stefania Argenti</w:t>
      </w:r>
      <w:r>
        <w:t xml:space="preserve"> (</w:t>
      </w:r>
      <w:r>
        <w:rPr>
          <w:color w:val="636363"/>
          <w:sz w:val="20"/>
          <w:szCs w:val="20"/>
        </w:rPr>
        <w:t>Soprintendenza ABAP per le province di Catanzaro e Crotone</w:t>
      </w:r>
      <w:r>
        <w:t>)</w:t>
      </w:r>
      <w:r>
        <w:t xml:space="preserve">, </w:t>
      </w:r>
      <w:r>
        <w:t>Alfredo Ruga</w:t>
      </w:r>
      <w:r>
        <w:t xml:space="preserve"> (</w:t>
      </w:r>
      <w:r>
        <w:rPr>
          <w:color w:val="636363"/>
          <w:sz w:val="20"/>
          <w:szCs w:val="20"/>
        </w:rPr>
        <w:t>Soprintendenza ABAP per le province di Catanzaro e Crotone</w:t>
      </w:r>
      <w:r>
        <w:t>)</w:t>
      </w:r>
      <w:r>
        <w:t xml:space="preserve">, </w:t>
      </w:r>
      <w:r>
        <w:t>Alfredo Falconieri</w:t>
      </w:r>
      <w:r>
        <w:t xml:space="preserve"> (</w:t>
      </w:r>
      <w:r>
        <w:rPr>
          <w:color w:val="636363"/>
          <w:sz w:val="20"/>
          <w:szCs w:val="20"/>
        </w:rPr>
        <w:t>National Research Council - Institute of Methodologies for Environmental Analysis</w:t>
      </w:r>
      <w:r>
        <w:t>)</w:t>
      </w:r>
      <w:r>
        <w:t xml:space="preserve">, </w:t>
      </w:r>
      <w:r>
        <w:t>Gerardo Romano</w:t>
      </w:r>
      <w:r>
        <w:t xml:space="preserve"> (</w:t>
      </w:r>
      <w:r>
        <w:rPr>
          <w:color w:val="636363"/>
          <w:sz w:val="20"/>
          <w:szCs w:val="20"/>
        </w:rPr>
        <w:t>Department of Earth and Geo-Environmental Sciences - University of Bari Aldo Moro</w:t>
      </w:r>
      <w:r>
        <w:t>)</w:t>
      </w:r>
      <w:r>
        <w:t xml:space="preserve">, </w:t>
      </w:r>
      <w:r>
        <w:t>Luigi Capozzoli</w:t>
      </w:r>
      <w:r>
        <w:t xml:space="preserve"> (</w:t>
      </w:r>
      <w:r>
        <w:rPr>
          <w:color w:val="636363"/>
          <w:sz w:val="20"/>
          <w:szCs w:val="20"/>
        </w:rPr>
        <w:t>National Research Council - Institute of Methodologies for Environmental Analysis</w:t>
      </w:r>
      <w:r>
        <w:t>)</w:t>
      </w:r>
      <w:r>
        <w:t xml:space="preserve">. </w:t>
      </w:r>
    </w:p>
    <w:p>
      <w:pPr>
        <w:pStyle w:val="Text"/>
      </w:pPr>
      <w:r>
        <w:t>An integrated geophysical survey was conducted within Crotone Cathedral to provide subsurface information supporting the planning of future restoration activities. Ground-penetrating radar and geoelectrical investigations were jointly applied to identify buried foundation walls, cavities, and other features of historical and architectural interest. The geophysical interpretations were subsequently verified and calibrated through targeted test excavations. Finally, the integration of geophysical data with terrestrial laser scanning and drone-based photogrammetric reconstructions enabled three-dimensional visualization of the survey results, providing new insights for the identification and interpretation of the Cathedral’s subsurface and architectural features.</w:t>
      </w:r>
    </w:p>
    <w:p>
      <w:pPr>
        <w:pStyle w:val="SubStyleBorder"/>
      </w:pPr>
      <w:bookmarkStart w:id="61" w:name="abs60"/>
      <w:r>
        <w:fldChar w:fldCharType="begin"/>
      </w:r>
      <w:r>
        <w:instrText xml:space="preserve">REF Index \h</w:instrText>
      </w:r>
      <w:r>
        <w:fldChar w:fldCharType="separate"/>
      </w:r>
      <w:r>
        <w:rPr>
          <w:color w:val="0000ff"/>
          <w:sz w:val="20"/>
          <w:szCs w:val="20"/>
        </w:rPr>
        <w:t>[4942]</w:t>
      </w:r>
      <w:r>
        <w:fldChar w:fldCharType="end"/>
      </w:r>
      <w:bookmarkEnd w:id="61"/>
      <w:r>
        <w:t xml:space="preserve"> </w:t>
      </w:r>
      <w:r>
        <w:rPr>
          <w:i/>
          <w:b/>
        </w:rPr>
        <w:t>Integrated GPR and TLS Measurements for Structural Assessment of a NeoGothic Brick Church</w:t>
      </w:r>
    </w:p>
    <w:p>
      <w:pPr>
        <w:pStyle w:val="Authors"/>
      </w:pPr>
      <w:r>
        <w:t>Kacper Durczak</w:t>
      </w:r>
      <w:r>
        <w:t xml:space="preserve"> (</w:t>
      </w:r>
      <w:r>
        <w:rPr>
          <w:color w:val="636363"/>
          <w:sz w:val="20"/>
          <w:szCs w:val="20"/>
        </w:rPr>
        <w:t>University of Warmia and Mazury in Olsztyn</w:t>
      </w:r>
      <w:r>
        <w:t>)</w:t>
      </w:r>
      <w:r>
        <w:t xml:space="preserve">, </w:t>
      </w:r>
      <w:r>
        <w:t>Joanna Janicka</w:t>
      </w:r>
      <w:r>
        <w:t xml:space="preserve"> (</w:t>
      </w:r>
      <w:r>
        <w:rPr>
          <w:color w:val="636363"/>
          <w:sz w:val="20"/>
          <w:szCs w:val="20"/>
        </w:rPr>
        <w:t>University of Warmia and Mazury in Olsztyn</w:t>
      </w:r>
      <w:r>
        <w:t>)</w:t>
      </w:r>
      <w:r>
        <w:t xml:space="preserve">, </w:t>
      </w:r>
      <w:r>
        <w:t>Wioleta Blaszczak-Bak</w:t>
      </w:r>
      <w:r>
        <w:t xml:space="preserve"> (</w:t>
      </w:r>
      <w:r>
        <w:rPr>
          <w:color w:val="636363"/>
          <w:sz w:val="20"/>
          <w:szCs w:val="20"/>
        </w:rPr>
        <w:t>University of Warmia and Mazury in Olsztyn</w:t>
      </w:r>
      <w:r>
        <w:t>)</w:t>
      </w:r>
      <w:r>
        <w:t xml:space="preserve">. </w:t>
      </w:r>
    </w:p>
    <w:p>
      <w:pPr>
        <w:pStyle w:val="Text"/>
      </w:pPr>
      <w:r>
        <w:t>This paper presents an integrated non-destructive investigation of a 19th-century Neo-Gothic brick church located in Nowa Wieś (Poland), using Ground Penetrating Radar (GPR) and Terrestrial Laser Scanning (TLS). The study focuses on the assessment of structural condition, particularly crack development and potential subsurface anomalies in masonry walls. GPR measurements were performed both along the external foundation zone and on interior wall surfaces using a 500 MHz antenna, ensuring high-resolution imaging. TLS data were acquired using Leica ScanStation C10 to obtain accurate geometric documentation. The integration of geophysical and geometric datasets enables comprehensive analysis of structural behaviour. Special attention is given to metrological aspects, including measurement resolution, uncertainty, and data reliability. The results demonstrate the effectiveness of combined methods in supporting conservation decisions for historic masonry structures.</w:t>
      </w:r>
    </w:p>
    <w:p>
      <w:pPr>
        <w:pStyle w:val="SubStyleBorder"/>
      </w:pPr>
      <w:bookmarkStart w:id="62" w:name="abs61"/>
      <w:r>
        <w:fldChar w:fldCharType="begin"/>
      </w:r>
      <w:r>
        <w:instrText xml:space="preserve">REF Index \h</w:instrText>
      </w:r>
      <w:r>
        <w:fldChar w:fldCharType="separate"/>
      </w:r>
      <w:r>
        <w:rPr>
          <w:color w:val="0000ff"/>
          <w:sz w:val="20"/>
          <w:szCs w:val="20"/>
        </w:rPr>
        <w:t>[4992]</w:t>
      </w:r>
      <w:r>
        <w:fldChar w:fldCharType="end"/>
      </w:r>
      <w:bookmarkEnd w:id="62"/>
      <w:r>
        <w:t xml:space="preserve"> </w:t>
      </w:r>
      <w:r>
        <w:rPr>
          <w:i/>
          <w:b/>
        </w:rPr>
        <w:t>Beyond the School Trip: Virtual Reality and WebQuest for Cultural Heritage Education</w:t>
      </w:r>
    </w:p>
    <w:p>
      <w:pPr>
        <w:pStyle w:val="Authors"/>
      </w:pPr>
      <w:r>
        <w:t>Angela D'Angelo</w:t>
      </w:r>
      <w:r>
        <w:t xml:space="preserve"> (</w:t>
      </w:r>
      <w:r>
        <w:rPr>
          <w:color w:val="636363"/>
          <w:sz w:val="20"/>
          <w:szCs w:val="20"/>
        </w:rPr>
        <w:t>Universitas Mercatorum</w:t>
      </w:r>
      <w:r>
        <w:t>)</w:t>
      </w:r>
      <w:r>
        <w:t xml:space="preserve">. </w:t>
      </w:r>
    </w:p>
    <w:p>
      <w:pPr>
        <w:pStyle w:val="Text"/>
      </w:pPr>
      <w:r>
        <w:t>Virtual Reality is increasingly used in cultural heritage to provide immersive access to museums, archaeological sites, historical buildings, and reconstructed environments. However, its educational use is often limited to virtual visits, where students mainly experience pre-existing content. This paper proposes a school-based framework that integrates VR into the cultural heritage learning process. The approach combines Virtual Reality with school trips and cultural heritage activities, enabling students to move beyond passive virtual visits and to develop interactive VR resources such as annotated $360^\circ$ images, virtual tours, and hotspot-based narratives. WebQuest-based inquiry supports the process by guiding source collection, information organization, and the documentation of local or lesser-known heritage assets. WebQuest acts as both a pedagogical scaffold and a documentation environment. This documented process supports reproducibility and enables the creation of a reusable database for schools and teachers.</w:t>
      </w:r>
    </w:p>
    <w:p>
      <w:pPr>
        <w:pStyle w:val="SubStyleBorder"/>
      </w:pPr>
      <w:bookmarkStart w:id="63" w:name="abs62"/>
      <w:r>
        <w:fldChar w:fldCharType="begin"/>
      </w:r>
      <w:r>
        <w:instrText xml:space="preserve">REF Index \h</w:instrText>
      </w:r>
      <w:r>
        <w:fldChar w:fldCharType="separate"/>
      </w:r>
      <w:r>
        <w:rPr>
          <w:color w:val="0000ff"/>
          <w:sz w:val="20"/>
          <w:szCs w:val="20"/>
        </w:rPr>
        <w:t>[5008]</w:t>
      </w:r>
      <w:r>
        <w:fldChar w:fldCharType="end"/>
      </w:r>
      <w:bookmarkEnd w:id="63"/>
      <w:r>
        <w:t xml:space="preserve"> </w:t>
      </w:r>
      <w:r>
        <w:rPr>
          <w:i/>
          <w:b/>
        </w:rPr>
        <w:t>GIS-Based Conservation Diagnostics and Spatial Data Integration for the Management of Open-Air Ichnological Heritage: The Bari Dinosaur Tracksites Network (Southern Italy)</w:t>
      </w:r>
    </w:p>
    <w:p>
      <w:pPr>
        <w:pStyle w:val="Authors"/>
      </w:pPr>
      <w:r>
        <w:t>Francesca Romana Paolillo</w:t>
      </w:r>
      <w:r>
        <w:t xml:space="preserve"> (</w:t>
      </w:r>
      <w:r>
        <w:rPr>
          <w:color w:val="636363"/>
          <w:sz w:val="20"/>
          <w:szCs w:val="20"/>
        </w:rPr>
        <w:t>Soprintendenza Archeologia, belle arti e paesaggio per la città metropolitana di Bari</w:t>
      </w:r>
      <w:r>
        <w:t>)</w:t>
      </w:r>
      <w:r>
        <w:t xml:space="preserve">, </w:t>
      </w:r>
      <w:r>
        <w:t>Caterina Annese</w:t>
      </w:r>
      <w:r>
        <w:t xml:space="preserve"> (</w:t>
      </w:r>
      <w:r>
        <w:rPr>
          <w:color w:val="636363"/>
          <w:sz w:val="20"/>
          <w:szCs w:val="20"/>
        </w:rPr>
        <w:t>Soprintendenza Archeologia, belle arti e paesaggio per la città metropolitana di Bari</w:t>
      </w:r>
      <w:r>
        <w:t>)</w:t>
      </w:r>
      <w:r>
        <w:t xml:space="preserve">, </w:t>
      </w:r>
      <w:r>
        <w:t>Elena Dellu'</w:t>
      </w:r>
      <w:r>
        <w:t xml:space="preserve"> (</w:t>
      </w:r>
      <w:r>
        <w:rPr>
          <w:color w:val="636363"/>
          <w:sz w:val="20"/>
          <w:szCs w:val="20"/>
        </w:rPr>
        <w:t>Soprintendenza ABAP Bari</w:t>
      </w:r>
      <w:r>
        <w:t>)</w:t>
      </w:r>
      <w:r>
        <w:t xml:space="preserve">. </w:t>
      </w:r>
    </w:p>
    <w:p>
      <w:pPr>
        <w:pStyle w:val="Text"/>
      </w:pPr>
      <w:r>
        <w:t>Open-air dinosaur tracksites represent highly vulnerable heritage systems, where the progressive degradation of exposed carbonate paleosurfaces directly results in the loss of scientific information. Since 2019, the Archaeology, Fine Arts and Landscape Superintendency for the Metropolitan Area of Bari (SABAP-BA) has developed an integrated geospatial framework for documenting, analysing and protecting the main dinosaur tracksites of the Bari territory (Southern Italy). Rather than functioning as a conventional GIS repository, the system integrates palaeontological data, conservation diagnostics and spatial analysis within a decision-support environment for preventive conservation. Degradation indicators were transformed into measurable geospatial variables, enabling the assessment of conservation vulnerability across multiple sites. Results reveal significant spatial variability in degradation patterns, identify biological colonisation as the dominant deterioration factor, highlight the long-term influence of historical quarrying activities, and demonstrate that palaeontological significance does not necessarily correspond to conservation vulnerability. The proposed methodology provides a transferable framework for evidence-based management of vulnerable open-air geoheritage.</w:t>
      </w:r>
    </w:p>
    <w:p>
      <w:pPr>
        <w:pStyle w:val="SubStyleBorder"/>
      </w:pPr>
      <w:bookmarkStart w:id="64" w:name="abs63"/>
      <w:r>
        <w:fldChar w:fldCharType="begin"/>
      </w:r>
      <w:r>
        <w:instrText xml:space="preserve">REF Index \h</w:instrText>
      </w:r>
      <w:r>
        <w:fldChar w:fldCharType="separate"/>
      </w:r>
      <w:r>
        <w:rPr>
          <w:color w:val="0000ff"/>
          <w:sz w:val="20"/>
          <w:szCs w:val="20"/>
        </w:rPr>
        <w:t>[5093]</w:t>
      </w:r>
      <w:r>
        <w:fldChar w:fldCharType="end"/>
      </w:r>
      <w:bookmarkEnd w:id="64"/>
      <w:r>
        <w:t xml:space="preserve"> </w:t>
      </w:r>
      <w:r>
        <w:rPr>
          <w:i/>
          <w:b/>
        </w:rPr>
        <w:t>Softwood and Hardwood Discrimination by Portable NMR under Controlled Relative Humidity Conditions</w:t>
      </w:r>
    </w:p>
    <w:p>
      <w:pPr>
        <w:pStyle w:val="Authors"/>
      </w:pPr>
      <w:r>
        <w:t>Elisa Villani</w:t>
      </w:r>
      <w:r>
        <w:t xml:space="preserve"> (</w:t>
      </w:r>
      <w:r>
        <w:rPr>
          <w:color w:val="636363"/>
          <w:sz w:val="20"/>
          <w:szCs w:val="20"/>
        </w:rPr>
        <w:t>Sapienza University of Rome</w:t>
      </w:r>
      <w:r>
        <w:t>)</w:t>
      </w:r>
      <w:r>
        <w:t xml:space="preserve">, </w:t>
      </w:r>
      <w:r>
        <w:t>Valeria Stagno</w:t>
      </w:r>
      <w:r>
        <w:t xml:space="preserve"> (</w:t>
      </w:r>
      <w:r>
        <w:rPr>
          <w:color w:val="636363"/>
          <w:sz w:val="20"/>
          <w:szCs w:val="20"/>
        </w:rPr>
        <w:t>Sapienza University of Rome</w:t>
      </w:r>
      <w:r>
        <w:t>)</w:t>
      </w:r>
      <w:r>
        <w:t xml:space="preserve">, </w:t>
      </w:r>
      <w:r>
        <w:t>Silvia Capuani</w:t>
      </w:r>
      <w:r>
        <w:t xml:space="preserve"> (</w:t>
      </w:r>
      <w:r>
        <w:rPr>
          <w:color w:val="636363"/>
          <w:sz w:val="20"/>
          <w:szCs w:val="20"/>
        </w:rPr>
        <w:t>National Research Council Institute for Complex Systems (CNR-ISC) | Sapienza University of Rome</w:t>
      </w:r>
      <w:r>
        <w:t>)</w:t>
      </w:r>
      <w:r>
        <w:t xml:space="preserve">. </w:t>
      </w:r>
    </w:p>
    <w:p>
      <w:pPr>
        <w:pStyle w:val="Text"/>
      </w:pPr>
      <w:r>
        <w:t>Wood species identification in cultural heritage objects is a challenging task, as conventional approaches require sampling and rely on anatomical features that may be altered by ageing. Portable low-field Nuclear Magnetic Resonance offers a non-invasive alternative by probing water-wood cell-wall polymer interactions, often influenced by species-dependent chemical and structural properties. In this work, the potential of portable NMR for the preliminary classification between hardwood and softwood was investigated under relative humidity conditions representative of museum and/or storage environments (45%-65% RH). Ten reference wood species were analysed using a Carr-Purcell-Meiboom-Gill (CPMG) pulse sequence and transverse relaxation (T2) decays were fitted using a biexponential decay model. The long T2,2 component showed a markedly different humidity response between the two wood groups: hardwoods exhibit larger T2,2 values and greater humidity variations than softwoods. These results suggest that T2,2 retains its discriminating capability under conservation-relevant conditions, showing that portable NMR relaxometry may provide a reliable tool for the preliminary in-situ classification of wooden cultural heritage objects.</w:t>
      </w:r>
    </w:p>
    <w:p>
      <w:pPr>
        <w:pStyle w:val="SubStyleBorder"/>
      </w:pPr>
      <w:bookmarkStart w:id="65" w:name="abs64"/>
      <w:r>
        <w:fldChar w:fldCharType="begin"/>
      </w:r>
      <w:r>
        <w:instrText xml:space="preserve">REF Index \h</w:instrText>
      </w:r>
      <w:r>
        <w:fldChar w:fldCharType="separate"/>
      </w:r>
      <w:r>
        <w:rPr>
          <w:color w:val="0000ff"/>
          <w:sz w:val="20"/>
          <w:szCs w:val="20"/>
        </w:rPr>
        <w:t>[5111]</w:t>
      </w:r>
      <w:r>
        <w:fldChar w:fldCharType="end"/>
      </w:r>
      <w:bookmarkEnd w:id="65"/>
      <w:r>
        <w:t xml:space="preserve"> </w:t>
      </w:r>
      <w:r>
        <w:rPr>
          <w:i/>
          <w:b/>
        </w:rPr>
        <w:t>Preliminary Survey of Painted Etruscan Ceramic Materials through Non-Invasive Spectroscopic Analysis</w:t>
      </w:r>
    </w:p>
    <w:p>
      <w:pPr>
        <w:pStyle w:val="Authors"/>
      </w:pPr>
      <w:r>
        <w:t>Carlo Pagliaccia</w:t>
      </w:r>
      <w:r>
        <w:t xml:space="preserve"> (</w:t>
      </w:r>
      <w:r>
        <w:rPr>
          <w:color w:val="636363"/>
          <w:sz w:val="20"/>
          <w:szCs w:val="20"/>
        </w:rPr>
        <w:t>Dipartimento di Chimica, Biologia e Biotecnologie, Università di Perugia</w:t>
      </w:r>
      <w:r>
        <w:t>)</w:t>
      </w:r>
      <w:r>
        <w:t xml:space="preserve">, </w:t>
      </w:r>
      <w:r>
        <w:t>Paolo Binaco</w:t>
      </w:r>
      <w:r>
        <w:t xml:space="preserve"> (</w:t>
      </w:r>
      <w:r>
        <w:rPr>
          <w:color w:val="636363"/>
          <w:sz w:val="20"/>
          <w:szCs w:val="20"/>
        </w:rPr>
        <w:t>Soprintendenza Archeologia, Belle Arti e Paesaggio per le province di Ancona e Pesaro e Urbino</w:t>
      </w:r>
      <w:r>
        <w:t>)</w:t>
      </w:r>
      <w:r>
        <w:t xml:space="preserve">, </w:t>
      </w:r>
      <w:r>
        <w:t>Aldo Romani</w:t>
      </w:r>
      <w:r>
        <w:t xml:space="preserve"> (</w:t>
      </w:r>
      <w:r>
        <w:rPr>
          <w:color w:val="636363"/>
          <w:sz w:val="20"/>
          <w:szCs w:val="20"/>
        </w:rPr>
        <w:t>Centro di Eccellenza SMAArt c/o Dipartimento di Chimica, Biologia e Biotecnologie, Università di Perugia</w:t>
      </w:r>
      <w:r>
        <w:t>)</w:t>
      </w:r>
      <w:r>
        <w:t xml:space="preserve">, </w:t>
      </w:r>
      <w:r>
        <w:t>Laura Cartechini</w:t>
      </w:r>
      <w:r>
        <w:t xml:space="preserve"> (</w:t>
      </w:r>
      <w:r>
        <w:rPr>
          <w:color w:val="636363"/>
          <w:sz w:val="20"/>
          <w:szCs w:val="20"/>
        </w:rPr>
        <w:t>CNR-SCITEC, Perugia</w:t>
      </w:r>
      <w:r>
        <w:t>)</w:t>
      </w:r>
      <w:r>
        <w:t xml:space="preserve">, </w:t>
      </w:r>
      <w:r>
        <w:t>Francesca Rosi</w:t>
      </w:r>
      <w:r>
        <w:t xml:space="preserve"> (</w:t>
      </w:r>
      <w:r>
        <w:rPr>
          <w:color w:val="636363"/>
          <w:sz w:val="20"/>
          <w:szCs w:val="20"/>
        </w:rPr>
        <w:t>CNR-SCITEC, Perugia</w:t>
      </w:r>
      <w:r>
        <w:t>)</w:t>
      </w:r>
      <w:r>
        <w:t xml:space="preserve">. </w:t>
      </w:r>
    </w:p>
    <w:p>
      <w:pPr>
        <w:pStyle w:val="Text"/>
      </w:pPr>
      <w:r>
        <w:t>This study focuses on the application of a 
non-invasive spectroscopic approach for the 
preliminary characterization of materials from a 
corpus of Etruscan pottery fragments dating to the 
6th–5th century BC. The fragments were examined 
under a license granted by the Italian Ministry of 
Culture. X-ray fluorescence (XRF) and external 
reflection Fourier-Transform Infrared (FT-IR) 
spectroscopy were employed to obtain information on 
elemental composition and the mineralogical phases, 
with the aim of classifying the materials and obtaining 
information on the manufacturing processes, 
particularly firing temperatures. The survey provided 
key data to guide future investigations of selected 
fragments through targeted micro-destructive 
analyses, to support and refine the results obtained 
from the non-invasive campaign</w:t>
      </w:r>
    </w:p>
    <w:p>
      <w:pPr>
        <w:pStyle w:val="SubStyleBorder"/>
      </w:pPr>
      <w:bookmarkStart w:id="66" w:name="abs65"/>
      <w:r>
        <w:fldChar w:fldCharType="begin"/>
      </w:r>
      <w:r>
        <w:instrText xml:space="preserve">REF Index \h</w:instrText>
      </w:r>
      <w:r>
        <w:fldChar w:fldCharType="separate"/>
      </w:r>
      <w:r>
        <w:rPr>
          <w:color w:val="0000ff"/>
          <w:sz w:val="20"/>
          <w:szCs w:val="20"/>
        </w:rPr>
        <w:t>[5137]</w:t>
      </w:r>
      <w:r>
        <w:fldChar w:fldCharType="end"/>
      </w:r>
      <w:bookmarkEnd w:id="66"/>
      <w:r>
        <w:t xml:space="preserve"> </w:t>
      </w:r>
      <w:r>
        <w:rPr>
          <w:i/>
          <w:b/>
        </w:rPr>
        <w:t>An overview on the impact of climate change on peruvian civilization paleodiets during the preincaic period</w:t>
      </w:r>
    </w:p>
    <w:p>
      <w:pPr>
        <w:pStyle w:val="Authors"/>
      </w:pPr>
      <w:r>
        <w:t>Annalisa Valente</w:t>
      </w:r>
      <w:r>
        <w:t xml:space="preserve"> (</w:t>
      </w:r>
      <w:r>
        <w:rPr>
          <w:color w:val="636363"/>
          <w:sz w:val="20"/>
          <w:szCs w:val="20"/>
        </w:rPr>
        <w:t>Freelance archeologist</w:t>
      </w:r>
      <w:r>
        <w:t>)</w:t>
      </w:r>
      <w:r>
        <w:t xml:space="preserve">, </w:t>
      </w:r>
      <w:r>
        <w:t>Francesca Colosi</w:t>
      </w:r>
      <w:r>
        <w:t xml:space="preserve"> (</w:t>
      </w:r>
      <w:r>
        <w:rPr>
          <w:color w:val="636363"/>
          <w:sz w:val="20"/>
          <w:szCs w:val="20"/>
        </w:rPr>
        <w:t>CNR ISPC - Roma</w:t>
      </w:r>
      <w:r>
        <w:t>)</w:t>
      </w:r>
      <w:r>
        <w:t xml:space="preserve">, </w:t>
      </w:r>
      <w:r>
        <w:t>Maurizio Lazzari</w:t>
      </w:r>
      <w:r>
        <w:t xml:space="preserve"> (</w:t>
      </w:r>
      <w:r>
        <w:rPr>
          <w:color w:val="636363"/>
          <w:sz w:val="20"/>
          <w:szCs w:val="20"/>
        </w:rPr>
        <w:t>CNR ISPC - Potenza</w:t>
      </w:r>
      <w:r>
        <w:t>)</w:t>
      </w:r>
      <w:r>
        <w:t xml:space="preserve">. </w:t>
      </w:r>
    </w:p>
    <w:p>
      <w:pPr>
        <w:pStyle w:val="Text"/>
      </w:pPr>
      <w:r>
        <w:t>The impact of ENSO-related climate change on the subsistence strategies of the pre-Inca Chavin, Moche, and Nasca civilizations was investigated through a reanalysis of stable isotope analyses of carbon (δ13C) and nitrogen (δ15N) on skeletal remains, highlighting the resilience of Andean and coastal populations between 1100 BC and 650 AD.
The data revealed that at the Andean site of Canchas Uckro (Chavin), the consumption of C3 plants, such as tubers and legumes, prevailed, ensuring survival during El Niño-induced droughts. In the coastal areas of Cerro Oreja (Moche) and Upanca (Nasca), however, a significant increase in maize (C4 plant), used as a storable commodity, was observed. The study highlighted how deep knowledge of the territory and strategic management of local resources allowed these cultures to develop a high level of resilience, fostering cooperation and the emergence of the first state entities.</w:t>
      </w:r>
    </w:p>
    <w:p>
      <w:pPr>
        <w:pStyle w:val="SubStyleBorder"/>
      </w:pPr>
      <w:bookmarkStart w:id="67" w:name="abs66"/>
      <w:r>
        <w:fldChar w:fldCharType="begin"/>
      </w:r>
      <w:r>
        <w:instrText xml:space="preserve">REF Index \h</w:instrText>
      </w:r>
      <w:r>
        <w:fldChar w:fldCharType="separate"/>
      </w:r>
      <w:r>
        <w:rPr>
          <w:color w:val="0000ff"/>
          <w:sz w:val="20"/>
          <w:szCs w:val="20"/>
        </w:rPr>
        <w:t>[5160]</w:t>
      </w:r>
      <w:r>
        <w:fldChar w:fldCharType="end"/>
      </w:r>
      <w:bookmarkEnd w:id="67"/>
      <w:r>
        <w:t xml:space="preserve"> </w:t>
      </w:r>
      <w:r>
        <w:rPr>
          <w:i/>
          <w:b/>
        </w:rPr>
        <w:t>Assessment of Urban Expansion Around the Nazca City in the Nazca Lines and Geoglyphs Archaeological Area Using Semi-supervised Deep Learning</w:t>
      </w:r>
    </w:p>
    <w:p>
      <w:pPr>
        <w:pStyle w:val="Authors"/>
      </w:pPr>
      <w:r>
        <w:t>Francisco James León Trujillo</w:t>
      </w:r>
      <w:r>
        <w:t xml:space="preserve"> (</w:t>
      </w:r>
      <w:r>
        <w:rPr>
          <w:color w:val="636363"/>
          <w:sz w:val="20"/>
          <w:szCs w:val="20"/>
        </w:rPr>
        <w:t>Universidad Continental, Cusco, Perú.</w:t>
      </w:r>
      <w:r>
        <w:t>)</w:t>
      </w:r>
      <w:r>
        <w:t xml:space="preserve">, </w:t>
      </w:r>
      <w:r>
        <w:t>Javier Alonso Jaimes Cucho</w:t>
      </w:r>
      <w:r>
        <w:t xml:space="preserve"> (</w:t>
      </w:r>
      <w:r>
        <w:rPr>
          <w:color w:val="636363"/>
          <w:sz w:val="20"/>
          <w:szCs w:val="20"/>
        </w:rPr>
        <w:t>Pontificia Universidad Católica del Perú, Lima, Perú</w:t>
      </w:r>
      <w:r>
        <w:t>)</w:t>
      </w:r>
      <w:r>
        <w:t xml:space="preserve">, </w:t>
      </w:r>
      <w:r>
        <w:t>Gabriel Nina Condori</w:t>
      </w:r>
      <w:r>
        <w:t xml:space="preserve"> (</w:t>
      </w:r>
      <w:r>
        <w:rPr>
          <w:color w:val="636363"/>
          <w:sz w:val="20"/>
          <w:szCs w:val="20"/>
        </w:rPr>
        <w:t>Universidad Continental, Cusco, Perú</w:t>
      </w:r>
      <w:r>
        <w:t>)</w:t>
      </w:r>
      <w:r>
        <w:t xml:space="preserve">, </w:t>
      </w:r>
      <w:r>
        <w:t>Abdul Yalli Alarcón</w:t>
      </w:r>
      <w:r>
        <w:t xml:space="preserve"> (</w:t>
      </w:r>
      <w:r>
        <w:rPr>
          <w:color w:val="636363"/>
          <w:sz w:val="20"/>
          <w:szCs w:val="20"/>
        </w:rPr>
        <w:t>Dirección Desconcentrada de Cultura de Ica, Ministerio de Cultura del Perú</w:t>
      </w:r>
      <w:r>
        <w:t>)</w:t>
      </w:r>
      <w:r>
        <w:t xml:space="preserve">, </w:t>
      </w:r>
      <w:r>
        <w:t>Miguel Chicchon</w:t>
      </w:r>
      <w:r>
        <w:t xml:space="preserve"> (</w:t>
      </w:r>
      <w:r>
        <w:rPr>
          <w:color w:val="636363"/>
          <w:sz w:val="20"/>
          <w:szCs w:val="20"/>
        </w:rPr>
        <w:t>Universidad a Distancia de Madrid (UDIMA), Madrid, España</w:t>
      </w:r>
      <w:r>
        <w:t>)</w:t>
      </w:r>
      <w:r>
        <w:t xml:space="preserve">. </w:t>
      </w:r>
    </w:p>
    <w:p>
      <w:pPr>
        <w:pStyle w:val="Text"/>
      </w:pPr>
      <w:r>
        <w:t>The Lines and Geoglyphs of Nazca and Palpa constitute one of the world’s most important archaeological landscapes and have been recognized as a UNESCO
World Heritage Site since 1994. However, increasing urban expansion around Nazca City has become one of the main anthropogenic threats affecting the integrity of the archaeological reserve and its buffer zones. This work presents an ongoing framework for multitemporal urban expansion assessment based on very high-resolution satellite imagery, semi-supervised semantic segmentation, and Explainable Artificial Intelligence (XAI). The proposed methodology aims to reduce the dependence on fully annotated datasets while providing interpretable predictions for heritage monitoring. Preliminary experiments will evaluate segmentation performance using Intersection over Union (IoU) and other standard metrics, while XAI techniques will support the interpretation of the model decisions. The proposed approach is expected to provide an efficient monitoring tool for supporting heritage conservation and territorial planning.</w:t>
      </w:r>
    </w:p>
    <w:p>
      <w:pPr>
        <w:pStyle w:val="SubStyleBorder"/>
      </w:pPr>
      <w:bookmarkStart w:id="68" w:name="abs67"/>
      <w:r>
        <w:fldChar w:fldCharType="begin"/>
      </w:r>
      <w:r>
        <w:instrText xml:space="preserve">REF Index \h</w:instrText>
      </w:r>
      <w:r>
        <w:fldChar w:fldCharType="separate"/>
      </w:r>
      <w:r>
        <w:rPr>
          <w:color w:val="0000ff"/>
          <w:sz w:val="20"/>
          <w:szCs w:val="20"/>
        </w:rPr>
        <w:t>[5165]</w:t>
      </w:r>
      <w:r>
        <w:fldChar w:fldCharType="end"/>
      </w:r>
      <w:bookmarkEnd w:id="68"/>
      <w:r>
        <w:t xml:space="preserve"> </w:t>
      </w:r>
      <w:r>
        <w:rPr>
          <w:i/>
          <w:b/>
        </w:rPr>
        <w:t>Archaeometric Characterization of Metal Artifacts from Southern Etruria (Caere): A Comparative Study between the Sanctuary of Pyrgi and the Necropolis of Caere</w:t>
      </w:r>
    </w:p>
    <w:p>
      <w:pPr>
        <w:pStyle w:val="Authors"/>
      </w:pPr>
      <w:r>
        <w:t>Susanna Milana</w:t>
      </w:r>
      <w:r>
        <w:t xml:space="preserve"> (</w:t>
      </w:r>
      <w:r>
        <w:rPr>
          <w:color w:val="636363"/>
          <w:sz w:val="20"/>
          <w:szCs w:val="20"/>
        </w:rPr>
        <w:t>Department of Earth Science, Sapienza University of Rome</w:t>
      </w:r>
      <w:r>
        <w:t>)</w:t>
      </w:r>
      <w:r>
        <w:t xml:space="preserve">, </w:t>
      </w:r>
      <w:r>
        <w:t>Alessandro Conti</w:t>
      </w:r>
      <w:r>
        <w:t xml:space="preserve"> (</w:t>
      </w:r>
      <w:r>
        <w:rPr>
          <w:color w:val="636363"/>
          <w:sz w:val="20"/>
          <w:szCs w:val="20"/>
        </w:rPr>
        <w:t>Department of Classics, Sapienza University of Rome</w:t>
      </w:r>
      <w:r>
        <w:t>)</w:t>
      </w:r>
      <w:r>
        <w:t xml:space="preserve">, </w:t>
      </w:r>
      <w:r>
        <w:t>Laura Maria Michetti</w:t>
      </w:r>
      <w:r>
        <w:t xml:space="preserve"> (</w:t>
      </w:r>
      <w:r>
        <w:rPr>
          <w:color w:val="636363"/>
          <w:sz w:val="20"/>
          <w:szCs w:val="20"/>
        </w:rPr>
        <w:t>Department of Classics, Sapienza University of Rome</w:t>
      </w:r>
      <w:r>
        <w:t>)</w:t>
      </w:r>
      <w:r>
        <w:t xml:space="preserve">, </w:t>
      </w:r>
      <w:r>
        <w:t>Matteo Paciucci</w:t>
      </w:r>
      <w:r>
        <w:t xml:space="preserve"> (</w:t>
      </w:r>
      <w:r>
        <w:rPr>
          <w:color w:val="636363"/>
          <w:sz w:val="20"/>
          <w:szCs w:val="20"/>
        </w:rPr>
        <w:t>Institute of Environmental Geology and Geoengineering, National Research Council (CNR-IGAG)</w:t>
      </w:r>
      <w:r>
        <w:t>)</w:t>
      </w:r>
      <w:r>
        <w:t xml:space="preserve">, </w:t>
      </w:r>
      <w:r>
        <w:t>Mohammad Sharbaf</w:t>
      </w:r>
      <w:r>
        <w:t xml:space="preserve"> (</w:t>
      </w:r>
      <w:r>
        <w:rPr>
          <w:color w:val="636363"/>
          <w:sz w:val="20"/>
          <w:szCs w:val="20"/>
        </w:rPr>
        <w:t>Department of Chemical Engineering, Materials and Environment, Sapienza University of Rome</w:t>
      </w:r>
      <w:r>
        <w:t>)</w:t>
      </w:r>
      <w:r>
        <w:t xml:space="preserve">, </w:t>
      </w:r>
      <w:r>
        <w:t>Caterina De Vito</w:t>
      </w:r>
      <w:r>
        <w:t xml:space="preserve"> (</w:t>
      </w:r>
      <w:r>
        <w:rPr>
          <w:color w:val="636363"/>
          <w:sz w:val="20"/>
          <w:szCs w:val="20"/>
        </w:rPr>
        <w:t>Department of Earth Science, Sapienza University of Rome</w:t>
      </w:r>
      <w:r>
        <w:t>)</w:t>
      </w:r>
      <w:r>
        <w:t xml:space="preserve">. </w:t>
      </w:r>
    </w:p>
    <w:p>
      <w:pPr>
        <w:pStyle w:val="Text"/>
      </w:pPr>
      <w:r>
        <w:t>This study presents an archaeometric investigation of metal artifacts from two major Etruscan contexts in southern Etruria, i.e., the Sanctuary of Pyrgi and the “Onde Marine” tomb in the Banditaccia necropolis at Caere. Iron and copper-based objects were analyzed to reconstruct manufacturing technologies and evaluate their conservation state. A multi-analytical approach combining Optical Microscopy, SEM-EDS, and μ-Raman spectroscopy was employed to investigate alloy composition, microstructures, and corrosion products. 
The study also highlights the strong influence of burial environments on corrosion mechanisms. Artifacts from the coastal site of Pyrgi exhibit chloride-induced degradation associated with bronze disease (Southern Sanctuary) or copper-stable patinas (Public-Ceremonial Quarter). In contrast, the volcanic funerary context of Banditaccia promoted the formation of stable iron oxyhydroxide layers. These results provide new insights into Etruscan metallurgical technologies and conservation issues.</w:t>
      </w:r>
    </w:p>
    <w:p>
      <w:pPr>
        <w:pStyle w:val="SubStyleBorder"/>
      </w:pPr>
      <w:bookmarkStart w:id="69" w:name="abs68"/>
      <w:r>
        <w:fldChar w:fldCharType="begin"/>
      </w:r>
      <w:r>
        <w:instrText xml:space="preserve">REF Index \h</w:instrText>
      </w:r>
      <w:r>
        <w:fldChar w:fldCharType="separate"/>
      </w:r>
      <w:r>
        <w:rPr>
          <w:color w:val="0000ff"/>
          <w:sz w:val="20"/>
          <w:szCs w:val="20"/>
        </w:rPr>
        <w:t>[5281]</w:t>
      </w:r>
      <w:r>
        <w:fldChar w:fldCharType="end"/>
      </w:r>
      <w:bookmarkEnd w:id="69"/>
      <w:r>
        <w:t xml:space="preserve"> </w:t>
      </w:r>
      <w:r>
        <w:rPr>
          <w:i/>
          <w:b/>
        </w:rPr>
        <w:t>Rhegion’s Mudbrick Fortification: Archaeometric and Architectural Analysis of a Late Archaic Defence (Calabria, 6th-5th century BCE)</w:t>
      </w:r>
    </w:p>
    <w:p>
      <w:pPr>
        <w:pStyle w:val="Authors"/>
      </w:pPr>
      <w:r>
        <w:t>Luca Filoni</w:t>
      </w:r>
      <w:r>
        <w:t xml:space="preserve"> (</w:t>
      </w:r>
      <w:r>
        <w:rPr>
          <w:color w:val="636363"/>
          <w:sz w:val="20"/>
          <w:szCs w:val="20"/>
        </w:rPr>
        <w:t>University of Pisa</w:t>
      </w:r>
      <w:r>
        <w:t>)</w:t>
      </w:r>
      <w:r>
        <w:t xml:space="preserve">. </w:t>
      </w:r>
    </w:p>
    <w:p>
      <w:pPr>
        <w:pStyle w:val="Text"/>
      </w:pPr>
      <w:r>
        <w:t>This paper investigates the Late Archaic mudbrick fortification of Rhegion, one of the earliest Greek colonial defensive circuits in Magna Graecia built entirely in mudbrick. By combining architectural, metrological, petrographic, chemical and mechanical analyses, the study reconstructs the production of mudbricks and clay mortars, the selection and preparation of raw materials, and the construction procedures adopted on the building site. The results reveal the use of locally available sedimentary resources, but also significant technological differences between the preserved sectors of the fortification. These differences suggest the coexistence of distinct production units and locally adapted building practices within a large-scale public construction program.</w:t>
      </w:r>
    </w:p>
    <w:p>
      <w:pPr>
        <w:pStyle w:val="SubStyleBorder"/>
      </w:pPr>
      <w:bookmarkStart w:id="70" w:name="abs69"/>
      <w:r>
        <w:fldChar w:fldCharType="begin"/>
      </w:r>
      <w:r>
        <w:instrText xml:space="preserve">REF Index \h</w:instrText>
      </w:r>
      <w:r>
        <w:fldChar w:fldCharType="separate"/>
      </w:r>
      <w:r>
        <w:rPr>
          <w:color w:val="0000ff"/>
          <w:sz w:val="20"/>
          <w:szCs w:val="20"/>
        </w:rPr>
        <w:t>[5472]</w:t>
      </w:r>
      <w:r>
        <w:fldChar w:fldCharType="end"/>
      </w:r>
      <w:bookmarkEnd w:id="70"/>
      <w:r>
        <w:t xml:space="preserve"> </w:t>
      </w:r>
      <w:r>
        <w:rPr>
          <w:i/>
          <w:b/>
        </w:rPr>
        <w:t>Impact of Natural and Anthropogenic Factors on Architectural Heritage. Case Study: The Andesite Altar at Sarmizegetusa Regia</w:t>
      </w:r>
    </w:p>
    <w:p>
      <w:pPr>
        <w:pStyle w:val="Authors"/>
      </w:pPr>
      <w:r>
        <w:t>Zgăvârdean Sorin</w:t>
      </w:r>
      <w:r>
        <w:t xml:space="preserve"> (</w:t>
      </w:r>
      <w:r>
        <w:rPr>
          <w:color w:val="636363"/>
          <w:sz w:val="20"/>
          <w:szCs w:val="20"/>
        </w:rPr>
        <w:t>Technical University of Cluj-Napoca</w:t>
      </w:r>
      <w:r>
        <w:t>)</w:t>
      </w:r>
      <w:r>
        <w:t xml:space="preserve">, </w:t>
      </w:r>
      <w:r>
        <w:t>Neamtu Calin</w:t>
      </w:r>
      <w:r>
        <w:t xml:space="preserve"> (</w:t>
      </w:r>
      <w:r>
        <w:rPr>
          <w:color w:val="636363"/>
          <w:sz w:val="20"/>
          <w:szCs w:val="20"/>
        </w:rPr>
        <w:t>Technical University of Cluj-Napoca</w:t>
      </w:r>
      <w:r>
        <w:t>)</w:t>
      </w:r>
      <w:r>
        <w:t xml:space="preserve">, </w:t>
      </w:r>
      <w:r>
        <w:t>Mateescu Razvan</w:t>
      </w:r>
      <w:r>
        <w:t xml:space="preserve"> (</w:t>
      </w:r>
      <w:r>
        <w:rPr>
          <w:color w:val="636363"/>
          <w:sz w:val="20"/>
          <w:szCs w:val="20"/>
        </w:rPr>
        <w:t>National Museum of History of Transylvania</w:t>
      </w:r>
      <w:r>
        <w:t>)</w:t>
      </w:r>
      <w:r>
        <w:t xml:space="preserve">. </w:t>
      </w:r>
    </w:p>
    <w:p>
      <w:pPr>
        <w:pStyle w:val="Text"/>
      </w:pPr>
      <w:r>
        <w:t>The andesite altar at Grădiștea de Munte-Sarmizegetusa Regia is one of the most significant examples of monumental architecture in the capital area of the Dacian Kingdom. Its shape and dimensions, its position within the largest Dacian sanctuary, and the use of three different types of stone for its construction are among the key arguments supporting the uniqueness and importance of this monument. Similar to most remains at Sarmizegetusa Regia, the circular altar has undergone several transformations from the moment of its discovery to the present. This paper presents the main interventions performed on the monument and the results of recent monitoring of temperature fluctuations recorded on its surface, which are essential for understanding its current appearance and the process of degradation.</w:t>
      </w:r>
    </w:p>
    <w:p>
      <w:pPr>
        <w:pStyle w:val="SubStyleBorder"/>
      </w:pPr>
      <w:bookmarkStart w:id="71" w:name="abs70"/>
      <w:r>
        <w:fldChar w:fldCharType="begin"/>
      </w:r>
      <w:r>
        <w:instrText xml:space="preserve">REF Index \h</w:instrText>
      </w:r>
      <w:r>
        <w:fldChar w:fldCharType="separate"/>
      </w:r>
      <w:r>
        <w:rPr>
          <w:color w:val="0000ff"/>
          <w:sz w:val="20"/>
          <w:szCs w:val="20"/>
        </w:rPr>
        <w:t>[5483]</w:t>
      </w:r>
      <w:r>
        <w:fldChar w:fldCharType="end"/>
      </w:r>
      <w:bookmarkEnd w:id="71"/>
      <w:r>
        <w:t xml:space="preserve"> </w:t>
      </w:r>
      <w:r>
        <w:rPr>
          <w:i/>
          <w:b/>
        </w:rPr>
        <w:t>Integrating AR into Cultural Heritage Practices: A Multidisciplinary Approach</w:t>
      </w:r>
    </w:p>
    <w:p>
      <w:pPr>
        <w:pStyle w:val="Authors"/>
      </w:pPr>
      <w:r>
        <w:t>Constanza Fiorella Duarte Petti</w:t>
      </w:r>
      <w:r>
        <w:t xml:space="preserve"> (</w:t>
      </w:r>
      <w:r>
        <w:rPr>
          <w:color w:val="636363"/>
          <w:sz w:val="20"/>
          <w:szCs w:val="20"/>
        </w:rPr>
        <w:t>Università degli Studi di Salerno</w:t>
      </w:r>
      <w:r>
        <w:t>)</w:t>
      </w:r>
      <w:r>
        <w:t xml:space="preserve">, </w:t>
      </w:r>
      <w:r>
        <w:t>Annachiara Guerra</w:t>
      </w:r>
      <w:r>
        <w:t xml:space="preserve"> (</w:t>
      </w:r>
      <w:r>
        <w:rPr>
          <w:color w:val="636363"/>
          <w:sz w:val="20"/>
          <w:szCs w:val="20"/>
        </w:rPr>
        <w:t>Università degli Studi di Salerno</w:t>
      </w:r>
      <w:r>
        <w:t>)</w:t>
      </w:r>
      <w:r>
        <w:t xml:space="preserve">, </w:t>
      </w:r>
      <w:r>
        <w:t>Angela Passeggiato</w:t>
      </w:r>
      <w:r>
        <w:t xml:space="preserve"> (</w:t>
      </w:r>
      <w:r>
        <w:rPr>
          <w:color w:val="636363"/>
          <w:sz w:val="20"/>
          <w:szCs w:val="20"/>
        </w:rPr>
        <w:t>Università degli Studi di Salerno</w:t>
      </w:r>
      <w:r>
        <w:t>)</w:t>
      </w:r>
      <w:r>
        <w:t xml:space="preserve">, </w:t>
      </w:r>
      <w:r>
        <w:t>Giusy Strollo</w:t>
      </w:r>
      <w:r>
        <w:t xml:space="preserve"> (</w:t>
      </w:r>
      <w:r>
        <w:rPr>
          <w:color w:val="636363"/>
          <w:sz w:val="20"/>
          <w:szCs w:val="20"/>
        </w:rPr>
        <w:t>Università degli Studi di Salerno</w:t>
      </w:r>
      <w:r>
        <w:t>)</w:t>
      </w:r>
      <w:r>
        <w:t xml:space="preserve">, </w:t>
      </w:r>
      <w:r>
        <w:t>Alfredo Troiano</w:t>
      </w:r>
      <w:r>
        <w:t xml:space="preserve"> (</w:t>
      </w:r>
      <w:r>
        <w:rPr>
          <w:color w:val="636363"/>
          <w:sz w:val="20"/>
          <w:szCs w:val="20"/>
        </w:rPr>
        <w:t>Università degli Studi di Salerno</w:t>
      </w:r>
      <w:r>
        <w:t>)</w:t>
      </w:r>
      <w:r>
        <w:t xml:space="preserve">, </w:t>
      </w:r>
      <w:r>
        <w:t>Valentino Carmine</w:t>
      </w:r>
      <w:r>
        <w:t xml:space="preserve"> (</w:t>
      </w:r>
      <w:r>
        <w:rPr>
          <w:color w:val="636363"/>
          <w:sz w:val="20"/>
          <w:szCs w:val="20"/>
        </w:rPr>
        <w:t>Università degli Studi di Salerno</w:t>
      </w:r>
      <w:r>
        <w:t>)</w:t>
      </w:r>
      <w:r>
        <w:t xml:space="preserve">. </w:t>
      </w:r>
    </w:p>
    <w:p>
      <w:pPr>
        <w:pStyle w:val="Text"/>
      </w:pPr>
      <w:r>
        <w:t>This work approaches the integration of augmented reality (AR) in  the cultural heritage field. This has changed the ways of preserving and communicating cultural assets. 
The objective was to build a wide and adaptable conceptual framework that allows to analyze AR potential in different cultural contexts. With a particular focus on the display and presentation of cultural assets in more traditional settings, such as museums and archives. From an interdisciplinary state of the art, we were able to examine recent advances in digital humanities, interactive museology,and digital archaeology. The main contribution is to offer an integrated vision that articulates the technological and educational dimensions with desing criteria and cultural mediation strategies applicable to a variety of institutional settings.</w:t>
      </w:r>
    </w:p>
    <w:p>
      <w:pPr>
        <w:pStyle w:val="SubStyleBorder"/>
      </w:pPr>
      <w:bookmarkStart w:id="72" w:name="abs71"/>
      <w:r>
        <w:fldChar w:fldCharType="begin"/>
      </w:r>
      <w:r>
        <w:instrText xml:space="preserve">REF Index \h</w:instrText>
      </w:r>
      <w:r>
        <w:fldChar w:fldCharType="separate"/>
      </w:r>
      <w:r>
        <w:rPr>
          <w:color w:val="0000ff"/>
          <w:sz w:val="20"/>
          <w:szCs w:val="20"/>
        </w:rPr>
        <w:t>[5554]</w:t>
      </w:r>
      <w:r>
        <w:fldChar w:fldCharType="end"/>
      </w:r>
      <w:bookmarkEnd w:id="72"/>
      <w:r>
        <w:t xml:space="preserve"> </w:t>
      </w:r>
      <w:r>
        <w:rPr>
          <w:i/>
          <w:b/>
        </w:rPr>
        <w:t>Non Invasive Diagnosys at the Necropoli of Porta Nocera in Pompeii</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The researches carried out by the IBAM-CNR in the area of the Necropolis of Porta Nocera at Pompeii have led to create an innovative system for the documentation, representation and preservation of archaeological contexts. The scientific rigour and precision of the traditional instrumental mapping together with the use of geophysical methods have produced high-definition 3D models of the funerary monuments and necropolis as tools to store and manage scientific information.</w:t>
      </w:r>
    </w:p>
    <w:p>
      <w:pPr>
        <w:pStyle w:val="SubStyleBorder"/>
      </w:pPr>
      <w:bookmarkStart w:id="73" w:name="abs72"/>
      <w:r>
        <w:fldChar w:fldCharType="begin"/>
      </w:r>
      <w:r>
        <w:instrText xml:space="preserve">REF Index \h</w:instrText>
      </w:r>
      <w:r>
        <w:fldChar w:fldCharType="separate"/>
      </w:r>
      <w:r>
        <w:rPr>
          <w:color w:val="0000ff"/>
          <w:sz w:val="20"/>
          <w:szCs w:val="20"/>
        </w:rPr>
        <w:t>[5572]</w:t>
      </w:r>
      <w:r>
        <w:fldChar w:fldCharType="end"/>
      </w:r>
      <w:bookmarkEnd w:id="73"/>
      <w:r>
        <w:t xml:space="preserve"> </w:t>
      </w:r>
      <w:r>
        <w:rPr>
          <w:i/>
          <w:b/>
        </w:rPr>
        <w:t>Archaeo-photovoltaics: concept, concept-inspired solutions and concept-application to the archaeological area of Bolsena</w:t>
      </w:r>
    </w:p>
    <w:p>
      <w:pPr>
        <w:pStyle w:val="Authors"/>
      </w:pPr>
      <w:r>
        <w:t>Danilo Dini</w:t>
      </w:r>
      <w:r>
        <w:t xml:space="preserve"> (</w:t>
      </w:r>
      <w:r>
        <w:rPr>
          <w:color w:val="636363"/>
          <w:sz w:val="20"/>
          <w:szCs w:val="20"/>
        </w:rPr>
        <w:t>Sapienza University of Rome, Dept. of Chemistry</w:t>
      </w:r>
      <w:r>
        <w:t>)</w:t>
      </w:r>
      <w:r>
        <w:t xml:space="preserve">. </w:t>
      </w:r>
    </w:p>
    <w:p>
      <w:pPr>
        <w:pStyle w:val="Text"/>
      </w:pPr>
      <w:r>
        <w:t>Archaeo-photovoltaics (ArPV) consists in the project and installation of energy supply infrastructures to be collocated in areas of historical/archaeological interest with the aim of improving the fruition of these areas. ArPV-generated power is destined to the maintenance of services to utilize in loco with ArPV pursuing the minimization of the visual impact the installation of a PV plant unavoidably brings about. At this regard two main approaches that limit the invasiveness of an ArPV plant are here considered: 1) installation of ArPV system that carries out the dual function of supplying electrical energy and protecting the archaeological area against adverse meteorological factors (twofold powering/shielding function); 2) combination of ArPV infrastructure with a battery energy storage system (BESS) to prevent grid connection (stand-alone mode for the energy management of the archaeological site). The integration of these two ArPV approaches is evaluated for the energetics valorisation of the archaeological site of Volsinii in Bolsena (Viterbo, Italy).</w:t>
      </w:r>
    </w:p>
    <w:p>
      <w:pPr>
        <w:pStyle w:val="SubStyleBorder"/>
      </w:pPr>
      <w:bookmarkStart w:id="74" w:name="abs73"/>
      <w:r>
        <w:fldChar w:fldCharType="begin"/>
      </w:r>
      <w:r>
        <w:instrText xml:space="preserve">REF Index \h</w:instrText>
      </w:r>
      <w:r>
        <w:fldChar w:fldCharType="separate"/>
      </w:r>
      <w:r>
        <w:rPr>
          <w:color w:val="0000ff"/>
          <w:sz w:val="20"/>
          <w:szCs w:val="20"/>
        </w:rPr>
        <w:t>[5650]</w:t>
      </w:r>
      <w:r>
        <w:fldChar w:fldCharType="end"/>
      </w:r>
      <w:bookmarkEnd w:id="74"/>
      <w:r>
        <w:t xml:space="preserve"> </w:t>
      </w:r>
      <w:r>
        <w:rPr>
          <w:i/>
          <w:b/>
        </w:rPr>
        <w:t>A metrological reassessment of Athanasius Kircher’s whispering chambers: A vibro-acoustic reference model for early modern architectural sound spaces</w:t>
      </w:r>
    </w:p>
    <w:p>
      <w:pPr>
        <w:pStyle w:val="Authors"/>
      </w:pPr>
      <w:r>
        <w:t>Elide Nastri</w:t>
      </w:r>
      <w:r>
        <w:t xml:space="preserve"> (</w:t>
      </w:r>
      <w:r>
        <w:rPr>
          <w:color w:val="636363"/>
          <w:sz w:val="20"/>
          <w:szCs w:val="20"/>
        </w:rPr>
        <w:t>Università degli Studi di Salerno, Department of Civil Engineering</w:t>
      </w:r>
      <w:r>
        <w:t>)</w:t>
      </w:r>
      <w:r>
        <w:t xml:space="preserve">, </w:t>
      </w:r>
      <w:r>
        <w:t>Paolo Todisco</w:t>
      </w:r>
      <w:r>
        <w:t xml:space="preserve"> (</w:t>
      </w:r>
      <w:r>
        <w:rPr>
          <w:color w:val="636363"/>
          <w:sz w:val="20"/>
          <w:szCs w:val="20"/>
        </w:rPr>
        <w:t>Università Telematica "Pegaso"</w:t>
      </w:r>
      <w:r>
        <w:t>)</w:t>
      </w:r>
      <w:r>
        <w:t xml:space="preserve">. </w:t>
      </w:r>
    </w:p>
    <w:p>
      <w:pPr>
        <w:pStyle w:val="Text"/>
      </w:pPr>
      <w:r>
        <w:t>This work presents a metrological reassessment of the whispering chambers associated with Athanasius Kircher and early modern architectural acoustics. The study investigates whether curved reflective geometries can generate measurable and repeatable sound focusing effects through the spatial organization of the acoustic field. An idealized reference model based on elliptical acoustic domains is introduced to analyse directional propagation, focal amplification and spatial selectivity in speech-related frequency ranges. The results show the emergence of localized acoustic concentration regions associated with the focal geometry of the chamber, together with a strong dependence of the effect on boundary regularity and frequency. The proposed approach does not aim to reconstruct a specific historical environment, but to provide a physically grounded and repeatable framework for the quantitative investigation of historical whispering phenomena within the context of metrology for cultural heritage.</w:t>
      </w:r>
    </w:p>
    <w:p>
      <w:pPr>
        <w:pStyle w:val="SubStyleBorder"/>
      </w:pPr>
      <w:bookmarkStart w:id="75" w:name="abs74"/>
      <w:r>
        <w:fldChar w:fldCharType="begin"/>
      </w:r>
      <w:r>
        <w:instrText xml:space="preserve">REF Index \h</w:instrText>
      </w:r>
      <w:r>
        <w:fldChar w:fldCharType="separate"/>
      </w:r>
      <w:r>
        <w:rPr>
          <w:color w:val="0000ff"/>
          <w:sz w:val="20"/>
          <w:szCs w:val="20"/>
        </w:rPr>
        <w:t>[5718]</w:t>
      </w:r>
      <w:r>
        <w:fldChar w:fldCharType="end"/>
      </w:r>
      <w:bookmarkEnd w:id="75"/>
      <w:r>
        <w:t xml:space="preserve"> </w:t>
      </w:r>
      <w:r>
        <w:rPr>
          <w:i/>
          <w:b/>
        </w:rPr>
        <w:t>Classifying Differentially Preserved Ceramic Profiles: A Semi-Automated Typology of Briquetage Sherds from Piscina Torta</w:t>
      </w:r>
    </w:p>
    <w:p>
      <w:pPr>
        <w:pStyle w:val="Authors"/>
      </w:pPr>
      <w:r>
        <w:t>Alessandri Luca</w:t>
      </w:r>
      <w:r>
        <w:t xml:space="preserve"> (</w:t>
      </w:r>
      <w:r>
        <w:rPr>
          <w:color w:val="636363"/>
          <w:sz w:val="20"/>
          <w:szCs w:val="20"/>
        </w:rPr>
        <w:t>Groningen University</w:t>
      </w:r>
      <w:r>
        <w:t>)</w:t>
      </w:r>
      <w:r>
        <w:t xml:space="preserve">, </w:t>
      </w:r>
      <w:r>
        <w:t>Valerio Baiocchi</w:t>
      </w:r>
      <w:r>
        <w:t xml:space="preserve"> (</w:t>
      </w:r>
      <w:r>
        <w:rPr>
          <w:color w:val="636363"/>
          <w:sz w:val="20"/>
          <w:szCs w:val="20"/>
        </w:rPr>
        <w:t>Sapienza University of Rome</w:t>
      </w:r>
      <w:r>
        <w:t>)</w:t>
      </w:r>
      <w:r>
        <w:t xml:space="preserve">. </w:t>
      </w:r>
    </w:p>
    <w:p>
      <w:pPr>
        <w:pStyle w:val="Text"/>
      </w:pPr>
      <w:r>
        <w:t>The documentation of ceramic assemblages from briquetage sites poses a problem of scale: salt production through the repeated breaking of brine containers generates hundreds of thousands of sherds, each of which must in principle be drawn and typologically classified. Taking the site of Piscina Torta (Ostia, Rome) as a case study, we present a first implementation of a semi-automated pipeline for the classification of rim profiles, designed to cope with the differential preservation that makes fragments difficult to compare. Each profile is reduced to a fixed band beneath the lip, represented as a turning function, and compared to the others through Dynamic Time Warping; the resulting distances are clustered with HDBSCAN. We discuss the method's promise and its limits, notably the structural absence of a single ground truth, and argue that it offers a valuable, time-saving point of departure for specialist study.</w:t>
      </w:r>
    </w:p>
    <w:p>
      <w:pPr>
        <w:pStyle w:val="SubStyleBorder"/>
      </w:pPr>
      <w:bookmarkStart w:id="76" w:name="abs75"/>
      <w:r>
        <w:fldChar w:fldCharType="begin"/>
      </w:r>
      <w:r>
        <w:instrText xml:space="preserve">REF Index \h</w:instrText>
      </w:r>
      <w:r>
        <w:fldChar w:fldCharType="separate"/>
      </w:r>
      <w:r>
        <w:rPr>
          <w:color w:val="0000ff"/>
          <w:sz w:val="20"/>
          <w:szCs w:val="20"/>
        </w:rPr>
        <w:t>[5735]</w:t>
      </w:r>
      <w:r>
        <w:fldChar w:fldCharType="end"/>
      </w:r>
      <w:bookmarkEnd w:id="76"/>
      <w:r>
        <w:t xml:space="preserve"> </w:t>
      </w:r>
      <w:r>
        <w:rPr>
          <w:i/>
          <w:b/>
        </w:rPr>
        <w:t>Stability Assessment of Unbonded Masonry Arches Using Rigid Body Dynamics</w:t>
      </w:r>
    </w:p>
    <w:p>
      <w:pPr>
        <w:pStyle w:val="Authors"/>
      </w:pPr>
      <w:r>
        <w:t>Mohammad Pourfouladi</w:t>
      </w:r>
      <w:r>
        <w:t xml:space="preserve"> (</w:t>
      </w:r>
      <w:r>
        <w:rPr>
          <w:color w:val="636363"/>
          <w:sz w:val="20"/>
          <w:szCs w:val="20"/>
        </w:rPr>
        <w:t>Politecnico di Milano</w:t>
      </w:r>
      <w:r>
        <w:t>)</w:t>
      </w:r>
      <w:r>
        <w:t xml:space="preserve">, </w:t>
      </w:r>
      <w:r>
        <w:t>Natalia Pingaro</w:t>
      </w:r>
      <w:r>
        <w:t xml:space="preserve"> (</w:t>
      </w:r>
      <w:r>
        <w:rPr>
          <w:color w:val="636363"/>
          <w:sz w:val="20"/>
          <w:szCs w:val="20"/>
        </w:rPr>
        <w:t>Politecnico di Milano</w:t>
      </w:r>
      <w:r>
        <w:t>)</w:t>
      </w:r>
      <w:r>
        <w:t xml:space="preserve">, </w:t>
      </w:r>
      <w:r>
        <w:t>David Mencías Carrizosa</w:t>
      </w:r>
      <w:r>
        <w:t xml:space="preserve"> (</w:t>
      </w:r>
      <w:r>
        <w:rPr>
          <w:color w:val="636363"/>
          <w:sz w:val="20"/>
          <w:szCs w:val="20"/>
        </w:rPr>
        <w:t>Universidad Politécnica de Madrid</w:t>
      </w:r>
      <w:r>
        <w:t>)</w:t>
      </w:r>
      <w:r>
        <w:t xml:space="preserve">, </w:t>
      </w:r>
      <w:r>
        <w:t>Gabriele Milani</w:t>
      </w:r>
      <w:r>
        <w:t xml:space="preserve"> (</w:t>
      </w:r>
      <w:r>
        <w:rPr>
          <w:color w:val="636363"/>
          <w:sz w:val="20"/>
          <w:szCs w:val="20"/>
        </w:rPr>
        <w:t>Politecnico di Milano</w:t>
      </w:r>
      <w:r>
        <w:t>)</w:t>
      </w:r>
      <w:r>
        <w:t xml:space="preserve">. </w:t>
      </w:r>
    </w:p>
    <w:p>
      <w:pPr>
        <w:pStyle w:val="Text"/>
      </w:pPr>
      <w:r>
        <w:t>Simulating the physical behavior of unbonded masonry and block structures under support displacements requires robust computational tools. This article presents PoliBrick.PhysX, a custom engineering platform that adapts the NVIDIA PhysX animation engine to assess mortarless construction. Integrating algorithmic geometry through Grasshopper and Rhinoceros 3D, the computational approach utilizes a hard-contact method coupled with a bidirectional Coulomb friction model. The proposed system is validated against a semicircular arch benchmark subjected to vertical settlement and lateral spreading. The findings highlight the real-time processing capabilities and high accuracy of the software. Ultimately, PoliBrick.PhysX emerges as an efficient resource for the preliminary structural evaluation of discrete block systems</w:t>
      </w:r>
    </w:p>
    <w:p>
      <w:pPr>
        <w:pStyle w:val="SubStyleBorder"/>
      </w:pPr>
      <w:bookmarkStart w:id="77" w:name="abs76"/>
      <w:r>
        <w:fldChar w:fldCharType="begin"/>
      </w:r>
      <w:r>
        <w:instrText xml:space="preserve">REF Index \h</w:instrText>
      </w:r>
      <w:r>
        <w:fldChar w:fldCharType="separate"/>
      </w:r>
      <w:r>
        <w:rPr>
          <w:color w:val="0000ff"/>
          <w:sz w:val="20"/>
          <w:szCs w:val="20"/>
        </w:rPr>
        <w:t>[5780]</w:t>
      </w:r>
      <w:r>
        <w:fldChar w:fldCharType="end"/>
      </w:r>
      <w:bookmarkEnd w:id="77"/>
      <w:r>
        <w:t xml:space="preserve"> </w:t>
      </w:r>
      <w:r>
        <w:rPr>
          <w:i/>
          <w:b/>
        </w:rPr>
        <w:t>Spatio‑temporal monitoring of parchment 3D displacements induced by temperature variation</w:t>
      </w:r>
    </w:p>
    <w:p>
      <w:pPr>
        <w:pStyle w:val="Authors"/>
      </w:pPr>
      <w:r>
        <w:t>Melania Paturzo</w:t>
      </w:r>
      <w:r>
        <w:t xml:space="preserve"> (</w:t>
      </w:r>
      <w:r>
        <w:rPr>
          <w:color w:val="636363"/>
          <w:sz w:val="20"/>
          <w:szCs w:val="20"/>
        </w:rPr>
        <w:t>CNR</w:t>
      </w:r>
      <w:r>
        <w:t>)</w:t>
      </w:r>
      <w:r>
        <w:t xml:space="preserve">, </w:t>
      </w:r>
      <w:r>
        <w:t>Chiara Saltarelli</w:t>
      </w:r>
      <w:r>
        <w:t xml:space="preserve"> (</w:t>
      </w:r>
      <w:r>
        <w:rPr>
          <w:color w:val="636363"/>
          <w:sz w:val="20"/>
          <w:szCs w:val="20"/>
        </w:rPr>
        <w:t>Department of Sciences of Antiquities, Sapienza University of Rome, Institute of Heritage Science (ISPC),-CNR,</w:t>
      </w:r>
      <w:r>
        <w:t>)</w:t>
      </w:r>
      <w:r>
        <w:t xml:space="preserve">, </w:t>
      </w:r>
      <w:r>
        <w:t>Vito Pagliarulo</w:t>
      </w:r>
      <w:r>
        <w:t xml:space="preserve"> (</w:t>
      </w:r>
      <w:r>
        <w:rPr>
          <w:color w:val="636363"/>
          <w:sz w:val="20"/>
          <w:szCs w:val="20"/>
        </w:rPr>
        <w:t>Institute of Applied Sciences and Intelligent Systems (ISASI), National Research Council (CNR), Pozzuoli, Italy</w:t>
      </w:r>
      <w:r>
        <w:t>)</w:t>
      </w:r>
      <w:r>
        <w:t xml:space="preserve">, </w:t>
      </w:r>
      <w:r>
        <w:t>Massimo Rippa</w:t>
      </w:r>
      <w:r>
        <w:t xml:space="preserve"> (</w:t>
      </w:r>
      <w:r>
        <w:rPr>
          <w:color w:val="636363"/>
          <w:sz w:val="20"/>
          <w:szCs w:val="20"/>
        </w:rPr>
        <w:t>Institute of Applied Sciences and Intelligent Systems (ISASI), National Research Council (CNR), Pozzuoli, Italy</w:t>
      </w:r>
      <w:r>
        <w:t>)</w:t>
      </w:r>
      <w:r>
        <w:t xml:space="preserve">. </w:t>
      </w:r>
    </w:p>
    <w:p>
      <w:pPr>
        <w:pStyle w:val="Text"/>
      </w:pPr>
      <w:r>
        <w:t>In this paper we aimed at the characterization of heat-induced morphological changes of sheet and goat parchment by 3D digital image correlation (3D DIC) method. Simultaneously, the temperature variation of the investigated samples is measured by means of an infrared camera. Both the techniques are contactless and not destructive and allow to monitor jointly the parchment deformation and the thermal response to the heating stimulus.</w:t>
      </w:r>
    </w:p>
    <w:p>
      <w:pPr>
        <w:pStyle w:val="SubStyleBorder"/>
      </w:pPr>
      <w:bookmarkStart w:id="78" w:name="abs77"/>
      <w:r>
        <w:fldChar w:fldCharType="begin"/>
      </w:r>
      <w:r>
        <w:instrText xml:space="preserve">REF Index \h</w:instrText>
      </w:r>
      <w:r>
        <w:fldChar w:fldCharType="separate"/>
      </w:r>
      <w:r>
        <w:rPr>
          <w:color w:val="0000ff"/>
          <w:sz w:val="20"/>
          <w:szCs w:val="20"/>
        </w:rPr>
        <w:t>[5785]</w:t>
      </w:r>
      <w:r>
        <w:fldChar w:fldCharType="end"/>
      </w:r>
      <w:bookmarkEnd w:id="78"/>
      <w:r>
        <w:t xml:space="preserve"> </w:t>
      </w:r>
      <w:r>
        <w:rPr>
          <w:i/>
          <w:b/>
        </w:rPr>
        <w:t>Chemical stabilization of machine-made wood pulp paper: a study on the long-term impacts of different strategies.</w:t>
      </w:r>
    </w:p>
    <w:p>
      <w:pPr>
        <w:pStyle w:val="Authors"/>
      </w:pPr>
      <w:r>
        <w:t>Margherita Molteni</w:t>
      </w:r>
      <w:r>
        <w:t xml:space="preserve"> (</w:t>
      </w:r>
      <w:r>
        <w:rPr>
          <w:color w:val="636363"/>
          <w:sz w:val="20"/>
          <w:szCs w:val="20"/>
        </w:rPr>
        <w:t>Conservation Department of the National Central Library in Rome</w:t>
      </w:r>
      <w:r>
        <w:t>)</w:t>
      </w:r>
      <w:r>
        <w:t xml:space="preserve">, </w:t>
      </w:r>
      <w:r>
        <w:t>Simone Luciani</w:t>
      </w:r>
      <w:r>
        <w:t xml:space="preserve"> (</w:t>
      </w:r>
      <w:r>
        <w:rPr>
          <w:color w:val="636363"/>
          <w:sz w:val="20"/>
          <w:szCs w:val="20"/>
        </w:rPr>
        <w:t>Department of Chemical Science and Technologies, University of Rome Tor Vergata</w:t>
      </w:r>
      <w:r>
        <w:t>)</w:t>
      </w:r>
      <w:r>
        <w:t xml:space="preserve">, </w:t>
      </w:r>
      <w:r>
        <w:t>Leonardo Severini</w:t>
      </w:r>
      <w:r>
        <w:t xml:space="preserve"> (</w:t>
      </w:r>
      <w:r>
        <w:rPr>
          <w:color w:val="636363"/>
          <w:sz w:val="20"/>
          <w:szCs w:val="20"/>
        </w:rPr>
        <w:t>Institute for Complex Systems, National Research Council, and Department of Physics, Sapienza University</w:t>
      </w:r>
      <w:r>
        <w:t>)</w:t>
      </w:r>
      <w:r>
        <w:t xml:space="preserve">, </w:t>
      </w:r>
      <w:r>
        <w:t>Laura Micheli</w:t>
      </w:r>
      <w:r>
        <w:t xml:space="preserve"> (</w:t>
      </w:r>
      <w:r>
        <w:rPr>
          <w:color w:val="636363"/>
          <w:sz w:val="20"/>
          <w:szCs w:val="20"/>
        </w:rPr>
        <w:t>Department of Chemical Science and Technologies, University of Rome Tor Vergata</w:t>
      </w:r>
      <w:r>
        <w:t>)</w:t>
      </w:r>
      <w:r>
        <w:t xml:space="preserve">, </w:t>
      </w:r>
      <w:r>
        <w:t>Elena Palmieri</w:t>
      </w:r>
      <w:r>
        <w:t xml:space="preserve"> (</w:t>
      </w:r>
      <w:r>
        <w:rPr>
          <w:color w:val="636363"/>
          <w:sz w:val="20"/>
          <w:szCs w:val="20"/>
        </w:rPr>
        <w:t>Institute for microelectronics and microsystems, National Research Council, Rome</w:t>
      </w:r>
      <w:r>
        <w:t>)</w:t>
      </w:r>
      <w:r>
        <w:t xml:space="preserve">, </w:t>
      </w:r>
      <w:r>
        <w:t>Francesco Maita</w:t>
      </w:r>
      <w:r>
        <w:t xml:space="preserve"> (</w:t>
      </w:r>
      <w:r>
        <w:rPr>
          <w:color w:val="636363"/>
          <w:sz w:val="20"/>
          <w:szCs w:val="20"/>
        </w:rPr>
        <w:t>Institute for microelectronics and microsystems, National Research Council, Rome</w:t>
      </w:r>
      <w:r>
        <w:t>)</w:t>
      </w:r>
      <w:r>
        <w:t xml:space="preserve">, </w:t>
      </w:r>
      <w:r>
        <w:t>Luca Maiolo</w:t>
      </w:r>
      <w:r>
        <w:t xml:space="preserve"> (</w:t>
      </w:r>
      <w:r>
        <w:rPr>
          <w:color w:val="636363"/>
          <w:sz w:val="20"/>
          <w:szCs w:val="20"/>
        </w:rPr>
        <w:t>Institute for microelectronics and microsystems, National Research Council, Rome</w:t>
      </w:r>
      <w:r>
        <w:t>)</w:t>
      </w:r>
      <w:r>
        <w:t xml:space="preserve">, </w:t>
      </w:r>
      <w:r>
        <w:t>Claudia Mazzuca</w:t>
      </w:r>
      <w:r>
        <w:t xml:space="preserve"> (</w:t>
      </w:r>
      <w:r>
        <w:rPr>
          <w:color w:val="636363"/>
          <w:sz w:val="20"/>
          <w:szCs w:val="20"/>
        </w:rPr>
        <w:t>Department of Chemical Science and Technologies, University of Rome Tor Vergata</w:t>
      </w:r>
      <w:r>
        <w:t>)</w:t>
      </w:r>
      <w:r>
        <w:t xml:space="preserve">, </w:t>
      </w:r>
      <w:r>
        <w:t>Silvia Sotgiu</w:t>
      </w:r>
      <w:r>
        <w:t xml:space="preserve"> (</w:t>
      </w:r>
      <w:r>
        <w:rPr>
          <w:color w:val="636363"/>
          <w:sz w:val="20"/>
          <w:szCs w:val="20"/>
        </w:rPr>
        <w:t>Conservation Department of the National Central Library in Rome,</w:t>
      </w:r>
      <w:r>
        <w:t>)</w:t>
      </w:r>
      <w:r>
        <w:t xml:space="preserve">. </w:t>
      </w:r>
    </w:p>
    <w:p>
      <w:pPr>
        <w:pStyle w:val="Text"/>
      </w:pPr>
      <w:r>
        <w:t>The proper preservation of paper-based cultural heritage is crucial, as paper is a fragile and complex material; therefore, its conservation is a critical and delicate step. Until recently, while several treatments have been assessed for hand-made paper produced from rags and gelatin sized, the issue of chemical stabilization of machine-made papers, featuring different composition and a wide variety of characteristics still remains unresolved. This research investigates whether protocols validated for ancient paper are also effective for highly fragile modern papers, specifically those made from groundwood pulp containing high levels of hemicellulose and lignin alongside cellulose. The work focuses on comparing the efficacy of several well-established chemical stabilization products and cleaning more frequently used on ancient paper items, on modern paper. Additionally, the long-term impacts of these treatments were assessed through accelerated hydrothermal ageing simulations.</w:t>
      </w:r>
    </w:p>
    <w:p>
      <w:pPr>
        <w:pStyle w:val="SubStyleBorder"/>
      </w:pPr>
      <w:bookmarkStart w:id="79" w:name="abs78"/>
      <w:r>
        <w:fldChar w:fldCharType="begin"/>
      </w:r>
      <w:r>
        <w:instrText xml:space="preserve">REF Index \h</w:instrText>
      </w:r>
      <w:r>
        <w:fldChar w:fldCharType="separate"/>
      </w:r>
      <w:r>
        <w:rPr>
          <w:color w:val="0000ff"/>
          <w:sz w:val="20"/>
          <w:szCs w:val="20"/>
        </w:rPr>
        <w:t>[5798]</w:t>
      </w:r>
      <w:r>
        <w:fldChar w:fldCharType="end"/>
      </w:r>
      <w:bookmarkEnd w:id="79"/>
      <w:r>
        <w:t xml:space="preserve"> </w:t>
      </w:r>
      <w:r>
        <w:rPr>
          <w:i/>
          <w:b/>
        </w:rPr>
        <w:t>Natural radioactivity and radiation hazards in decorative building materials used in Türkiye</w:t>
      </w:r>
    </w:p>
    <w:p>
      <w:pPr>
        <w:pStyle w:val="Authors"/>
      </w:pPr>
      <w:r>
        <w:t>Serpil Akozcan Pehlivanoglu</w:t>
      </w:r>
      <w:r>
        <w:t xml:space="preserve"> (</w:t>
      </w:r>
      <w:r>
        <w:rPr>
          <w:color w:val="636363"/>
          <w:sz w:val="20"/>
          <w:szCs w:val="20"/>
        </w:rPr>
        <w:t>Kirklareli University</w:t>
      </w:r>
      <w:r>
        <w:t>)</w:t>
      </w:r>
      <w:r>
        <w:t xml:space="preserve">, </w:t>
      </w:r>
      <w:r>
        <w:t>Simona Mancini</w:t>
      </w:r>
      <w:r>
        <w:t xml:space="preserve"> (</w:t>
      </w:r>
      <w:r>
        <w:rPr>
          <w:color w:val="636363"/>
          <w:sz w:val="20"/>
          <w:szCs w:val="20"/>
        </w:rPr>
        <w:t>University of Salerno</w:t>
      </w:r>
      <w:r>
        <w:t>)</w:t>
      </w:r>
      <w:r>
        <w:t xml:space="preserve">, </w:t>
      </w:r>
      <w:r>
        <w:t>Michele Guida</w:t>
      </w:r>
      <w:r>
        <w:t xml:space="preserve"> (</w:t>
      </w:r>
      <w:r>
        <w:rPr>
          <w:color w:val="636363"/>
          <w:sz w:val="20"/>
          <w:szCs w:val="20"/>
        </w:rPr>
        <w:t>university of salerno</w:t>
      </w:r>
      <w:r>
        <w:t>)</w:t>
      </w:r>
      <w:r>
        <w:t xml:space="preserve">, </w:t>
      </w:r>
      <w:r>
        <w:t>Natasa Todorovic</w:t>
      </w:r>
      <w:r>
        <w:t xml:space="preserve"> (</w:t>
      </w:r>
      <w:r>
        <w:rPr>
          <w:color w:val="636363"/>
          <w:sz w:val="20"/>
          <w:szCs w:val="20"/>
        </w:rPr>
        <w:t>University of Novi Sad</w:t>
      </w:r>
      <w:r>
        <w:t>)</w:t>
      </w:r>
      <w:r>
        <w:t xml:space="preserve">. </w:t>
      </w:r>
    </w:p>
    <w:p>
      <w:pPr>
        <w:pStyle w:val="Text"/>
      </w:pPr>
      <w:r>
        <w:t>Slate stone is a natural building material that contains naturally occurring radionuclides in its structure and is widely used, particularly in decorative applications. In this study, natural radionuclide levels associated with building materials were investigated in a residential building located in Kırklareli Province, Türkiye, where the exterior surfaces are covered with natural slate stone and the interior surfaces are clad with aerated concrete.
The activity concentrations of 226Ra, 232Th, and 40K in the slate stone and aerated concrete used in the structure were determined using high-purity germanium (HPGe) gamma-ray spectrometry. In addition, radiological hazard parameters including radium equivalent activity (Raₑq), absorbed dose rate, annual effective dose, external hazard index (Hₑx), internal hazard index (Hᵢn) and gamma radiation activity index (Iγ) were calculated.</w:t>
      </w:r>
    </w:p>
    <w:p>
      <w:pPr>
        <w:pStyle w:val="SubStyleBorder"/>
      </w:pPr>
      <w:bookmarkStart w:id="80" w:name="abs79"/>
      <w:r>
        <w:fldChar w:fldCharType="begin"/>
      </w:r>
      <w:r>
        <w:instrText xml:space="preserve">REF Index \h</w:instrText>
      </w:r>
      <w:r>
        <w:fldChar w:fldCharType="separate"/>
      </w:r>
      <w:r>
        <w:rPr>
          <w:color w:val="0000ff"/>
          <w:sz w:val="20"/>
          <w:szCs w:val="20"/>
        </w:rPr>
        <w:t>[5880]</w:t>
      </w:r>
      <w:r>
        <w:fldChar w:fldCharType="end"/>
      </w:r>
      <w:bookmarkEnd w:id="80"/>
      <w:r>
        <w:t xml:space="preserve"> </w:t>
      </w:r>
      <w:r>
        <w:rPr>
          <w:i/>
          <w:b/>
        </w:rPr>
        <w:t>From Measurement to Heritage: A Methodological Model for the Preventive Conservation of 20th Century Electrical Instruments</w:t>
      </w:r>
    </w:p>
    <w:p>
      <w:pPr>
        <w:pStyle w:val="Authors"/>
      </w:pPr>
      <w:r>
        <w:t>Emma Angelini</w:t>
      </w:r>
      <w:r>
        <w:t xml:space="preserve"> (</w:t>
      </w:r>
      <w:r>
        <w:rPr>
          <w:color w:val="636363"/>
          <w:sz w:val="20"/>
          <w:szCs w:val="20"/>
        </w:rPr>
        <w:t>Politecnico di Torino</w:t>
      </w:r>
      <w:r>
        <w:t>)</w:t>
      </w:r>
      <w:r>
        <w:t xml:space="preserve">. </w:t>
      </w:r>
    </w:p>
    <w:p>
      <w:pPr>
        <w:pStyle w:val="Text"/>
      </w:pPr>
      <w:r>
        <w:t>20th century electrical instruments represent complex scientific heritage where technological innovation, experimental practice, and material culture converge. Their conservation requires interdisciplinary approaches integrating historical research, materials science, as well as non-invasive diagnostics. This paper presents an ongoing conservation project focused on the historical electrical instrument collection of the Politecnico di Torino (1920–1960), with particular attention to the scientific legacy of Eligio Perucca.
The study proposes a transferable methodological framework for preventive conservation based on portable XRF, Raman spectroscopy, and electrochemical impedance spectroscopy (EIS). A 1926 Chauvin-Arnoux milliamperometer was selected as a pilot case study to investigate galvanic corrosion, multimaterial degradation, and foxing affecting cellulose-based measurement scales.
The results demonstrate how integrated diagnostic workflows can support condition assessment, risk evaluation, and long-term preventive conservation strategies for scientific heritage collections.</w:t>
      </w:r>
    </w:p>
    <w:p>
      <w:pPr>
        <w:pStyle w:val="SubStyleBorder"/>
      </w:pPr>
      <w:bookmarkStart w:id="81" w:name="abs80"/>
      <w:r>
        <w:fldChar w:fldCharType="begin"/>
      </w:r>
      <w:r>
        <w:instrText xml:space="preserve">REF Index \h</w:instrText>
      </w:r>
      <w:r>
        <w:fldChar w:fldCharType="separate"/>
      </w:r>
      <w:r>
        <w:rPr>
          <w:color w:val="0000ff"/>
          <w:sz w:val="20"/>
          <w:szCs w:val="20"/>
        </w:rPr>
        <w:t>[5903]</w:t>
      </w:r>
      <w:r>
        <w:fldChar w:fldCharType="end"/>
      </w:r>
      <w:bookmarkEnd w:id="81"/>
      <w:r>
        <w:t xml:space="preserve"> </w:t>
      </w:r>
      <w:r>
        <w:rPr>
          <w:i/>
          <w:b/>
        </w:rPr>
        <w:t>Effectiveness of geophysical methods for the characterization of World Heritage Roman walls: The cases of Tarraco and Lucus Augustis</w:t>
      </w:r>
    </w:p>
    <w:p>
      <w:pPr>
        <w:pStyle w:val="Authors"/>
      </w:pPr>
      <w:r>
        <w:t>Albert Casas Ponsatí</w:t>
      </w:r>
      <w:r>
        <w:t xml:space="preserve"> (</w:t>
      </w:r>
      <w:r>
        <w:rPr>
          <w:color w:val="636363"/>
          <w:sz w:val="20"/>
          <w:szCs w:val="20"/>
        </w:rPr>
        <w:t>University of Barcelona. Spain</w:t>
      </w:r>
      <w:r>
        <w:t>)</w:t>
      </w:r>
      <w:r>
        <w:t xml:space="preserve">, </w:t>
      </w:r>
      <w:r>
        <w:t>Ricardo Lázaro</w:t>
      </w:r>
      <w:r>
        <w:t xml:space="preserve"> (</w:t>
      </w:r>
      <w:r>
        <w:rPr>
          <w:color w:val="636363"/>
          <w:sz w:val="20"/>
          <w:szCs w:val="20"/>
        </w:rPr>
        <w:t>University of Barcelona</w:t>
      </w:r>
      <w:r>
        <w:t>)</w:t>
      </w:r>
      <w:r>
        <w:t xml:space="preserve">, </w:t>
      </w:r>
      <w:r>
        <w:t>Mahjoub Himi</w:t>
      </w:r>
      <w:r>
        <w:t xml:space="preserve"> (</w:t>
      </w:r>
      <w:r>
        <w:rPr>
          <w:color w:val="636363"/>
          <w:sz w:val="20"/>
          <w:szCs w:val="20"/>
        </w:rPr>
        <w:t>University of Barcelona</w:t>
      </w:r>
      <w:r>
        <w:t>)</w:t>
      </w:r>
      <w:r>
        <w:t xml:space="preserve">, </w:t>
      </w:r>
      <w:r>
        <w:t>Raul Lovera</w:t>
      </w:r>
      <w:r>
        <w:t xml:space="preserve"> (</w:t>
      </w:r>
      <w:r>
        <w:rPr>
          <w:color w:val="636363"/>
          <w:sz w:val="20"/>
          <w:szCs w:val="20"/>
        </w:rPr>
        <w:t>University of Barcelona</w:t>
      </w:r>
      <w:r>
        <w:t>)</w:t>
      </w:r>
      <w:r>
        <w:t xml:space="preserve">, </w:t>
      </w:r>
      <w:r>
        <w:t>Maria Vilas</w:t>
      </w:r>
      <w:r>
        <w:t xml:space="preserve"> (</w:t>
      </w:r>
      <w:r>
        <w:rPr>
          <w:color w:val="636363"/>
          <w:sz w:val="20"/>
          <w:szCs w:val="20"/>
        </w:rPr>
        <w:t>University of Barcelona</w:t>
      </w:r>
      <w:r>
        <w:t>)</w:t>
      </w:r>
      <w:r>
        <w:t xml:space="preserve">, </w:t>
      </w:r>
      <w:r>
        <w:t>Joan Mechon</w:t>
      </w:r>
      <w:r>
        <w:t xml:space="preserve"> (</w:t>
      </w:r>
      <w:r>
        <w:rPr>
          <w:color w:val="636363"/>
          <w:sz w:val="20"/>
          <w:szCs w:val="20"/>
        </w:rPr>
        <w:t>Ajuntament de Tarragona</w:t>
      </w:r>
      <w:r>
        <w:t>)</w:t>
      </w:r>
      <w:r>
        <w:t xml:space="preserve">. </w:t>
      </w:r>
    </w:p>
    <w:p>
      <w:pPr>
        <w:pStyle w:val="Text"/>
      </w:pPr>
      <w:r>
        <w:t>The characterization of the internal structure of Roman walls is of crucial importance in order to make a diagnosis of the origin of the pathologies that compromise their conservation. Due to their importance as a historical-archaeological monument, some of these walls have been declared World Heritage sites, and consequently, the execution of detailed geophysical studies is justified before undertaking and planning the necessary restoration works. This is the case of the walls of Tarragona (Tarraco) and Lugo (Lucus Augustis). The Roman walls of Lugo and Tarragona were built in different ages, using different materials and construction designs. For this reason, maintenance and conservation tasks must be different and comprehensive information about their internal structure is required from high-resolution geophysical methods.</w:t>
      </w:r>
    </w:p>
    <w:p>
      <w:pPr>
        <w:pStyle w:val="SubStyleBorder"/>
      </w:pPr>
      <w:bookmarkStart w:id="82" w:name="abs81"/>
      <w:r>
        <w:fldChar w:fldCharType="begin"/>
      </w:r>
      <w:r>
        <w:instrText xml:space="preserve">REF Index \h</w:instrText>
      </w:r>
      <w:r>
        <w:fldChar w:fldCharType="separate"/>
      </w:r>
      <w:r>
        <w:rPr>
          <w:color w:val="0000ff"/>
          <w:sz w:val="20"/>
          <w:szCs w:val="20"/>
        </w:rPr>
        <w:t>[5943]</w:t>
      </w:r>
      <w:r>
        <w:fldChar w:fldCharType="end"/>
      </w:r>
      <w:bookmarkEnd w:id="82"/>
      <w:r>
        <w:t xml:space="preserve"> </w:t>
      </w:r>
      <w:r>
        <w:rPr>
          <w:i/>
          <w:b/>
        </w:rPr>
        <w:t>A Data-Driven Multi-Parameter Monitoring Framework for Archaeological Heritage: Structural Health Monitoring and Preventive Conservation in the “Domus de Janas” UNESCO Property</w:t>
      </w:r>
    </w:p>
    <w:p>
      <w:pPr>
        <w:pStyle w:val="Authors"/>
      </w:pPr>
      <w:r>
        <w:t>Giovanna Concu</w:t>
      </w:r>
      <w:r>
        <w:t xml:space="preserve"> (</w:t>
      </w:r>
      <w:r>
        <w:rPr>
          <w:color w:val="636363"/>
          <w:sz w:val="20"/>
          <w:szCs w:val="20"/>
        </w:rPr>
        <w:t>DICAAR - University of Cagliari</w:t>
      </w:r>
      <w:r>
        <w:t>)</w:t>
      </w:r>
      <w:r>
        <w:t xml:space="preserve">, </w:t>
      </w:r>
      <w:r>
        <w:t>Donatella Rita Fiorino</w:t>
      </w:r>
      <w:r>
        <w:t xml:space="preserve"> (</w:t>
      </w:r>
      <w:r>
        <w:rPr>
          <w:color w:val="636363"/>
          <w:sz w:val="20"/>
          <w:szCs w:val="20"/>
        </w:rPr>
        <w:t>DICAAR - University of Cagliari</w:t>
      </w:r>
      <w:r>
        <w:t>)</w:t>
      </w:r>
      <w:r>
        <w:t xml:space="preserve">, </w:t>
      </w:r>
      <w:r>
        <w:t>Andrea Frattolillo</w:t>
      </w:r>
      <w:r>
        <w:t xml:space="preserve"> (</w:t>
      </w:r>
      <w:r>
        <w:rPr>
          <w:color w:val="636363"/>
          <w:sz w:val="20"/>
          <w:szCs w:val="20"/>
        </w:rPr>
        <w:t>DICAAR - University of Cagliari</w:t>
      </w:r>
      <w:r>
        <w:t>)</w:t>
      </w:r>
      <w:r>
        <w:t xml:space="preserve">, </w:t>
      </w:r>
      <w:r>
        <w:t>Costantino Carlo Mastino</w:t>
      </w:r>
      <w:r>
        <w:t xml:space="preserve"> (</w:t>
      </w:r>
      <w:r>
        <w:rPr>
          <w:color w:val="636363"/>
          <w:sz w:val="20"/>
          <w:szCs w:val="20"/>
        </w:rPr>
        <w:t>DICAAR - University of Cagliari</w:t>
      </w:r>
      <w:r>
        <w:t>)</w:t>
      </w:r>
      <w:r>
        <w:t xml:space="preserve">, </w:t>
      </w:r>
      <w:r>
        <w:t>Daniel Meloni</w:t>
      </w:r>
      <w:r>
        <w:t xml:space="preserve"> (</w:t>
      </w:r>
      <w:r>
        <w:rPr>
          <w:color w:val="636363"/>
          <w:sz w:val="20"/>
          <w:szCs w:val="20"/>
        </w:rPr>
        <w:t>DICAAR - University of Cagliari</w:t>
      </w:r>
      <w:r>
        <w:t>)</w:t>
      </w:r>
      <w:r>
        <w:t xml:space="preserve">, </w:t>
      </w:r>
      <w:r>
        <w:t>Elisa Pilia</w:t>
      </w:r>
      <w:r>
        <w:t xml:space="preserve"> (</w:t>
      </w:r>
      <w:r>
        <w:rPr>
          <w:color w:val="636363"/>
          <w:sz w:val="20"/>
          <w:szCs w:val="20"/>
        </w:rPr>
        <w:t>DICAAR - University of Cagliari</w:t>
      </w:r>
      <w:r>
        <w:t>)</w:t>
      </w:r>
      <w:r>
        <w:t xml:space="preserve">, </w:t>
      </w:r>
      <w:r>
        <w:t>Giuseppe Tropeano</w:t>
      </w:r>
      <w:r>
        <w:t xml:space="preserve"> (</w:t>
      </w:r>
      <w:r>
        <w:rPr>
          <w:color w:val="636363"/>
          <w:sz w:val="20"/>
          <w:szCs w:val="20"/>
        </w:rPr>
        <w:t>DICAAR - University of Cagliari</w:t>
      </w:r>
      <w:r>
        <w:t>)</w:t>
      </w:r>
      <w:r>
        <w:t xml:space="preserve">. </w:t>
      </w:r>
    </w:p>
    <w:p>
      <w:pPr>
        <w:pStyle w:val="Text"/>
      </w:pPr>
      <w:r>
        <w:t>The conservation of archaeological heritage, particularly in hypogeal contexts, requires the integration of multiple factors that simultaneously impact material integrity, structural stability, and environmental balance. This paper illustrates the development and implementation of a multi-parametric and data-driven monitoring system applied to the UNESCO serial site "Funerary Tradition in the Prehistory of Sardinia – The Domus de Janas", composed of eighteen component sites distributed across the regional territory of Sardinia (Italy), and recently recognized as a universal heritage site and added to the UNESCO World Heritage List.
The proposed system integrates Structural Health Monitoring (SHM) techniques, environmental monitoring, and non-destructive investigations within a unified methodological framework, consistent with the management, protection, conservation, and enhancement tools developed for the UNESCO site. The monitoring architecture is based on calibrated and traceable measurements, including high-resolution techniques such as terrestrial laser scanning (TLS), photogrammetry, infrared thermography, crack monitoring systems, microclimatic and wetting sensors, specifically adapted to hypogeal environments including painted and sculpted surfaces.
A significant contribution of this study is the implementation of a structured data flow that transforms heterogeneous measurements into quantitative indicators, associated with defined alert and critical thresholds and conservation actions. This allows for the transition from a descriptive approach to a preventive, predictive, and data-driven conservation model. The system also ensures comparability between the different components of the serial site, while maintaining the necessary local specificity.
The proposed framework helps integrate metrology, digital data management, and conservation practices, offering a replicable model for complex archaeological systems characterized by high environmental sensitivity and structural heterogeneity.</w:t>
      </w:r>
    </w:p>
    <w:p>
      <w:pPr>
        <w:pStyle w:val="SubStyleBorder"/>
      </w:pPr>
      <w:bookmarkStart w:id="83" w:name="abs82"/>
      <w:r>
        <w:fldChar w:fldCharType="begin"/>
      </w:r>
      <w:r>
        <w:instrText xml:space="preserve">REF Index \h</w:instrText>
      </w:r>
      <w:r>
        <w:fldChar w:fldCharType="separate"/>
      </w:r>
      <w:r>
        <w:rPr>
          <w:color w:val="0000ff"/>
          <w:sz w:val="20"/>
          <w:szCs w:val="20"/>
        </w:rPr>
        <w:t>[5985]</w:t>
      </w:r>
      <w:r>
        <w:fldChar w:fldCharType="end"/>
      </w:r>
      <w:bookmarkEnd w:id="83"/>
      <w:r>
        <w:t xml:space="preserve"> </w:t>
      </w:r>
      <w:r>
        <w:rPr>
          <w:i/>
          <w:b/>
        </w:rPr>
        <w:t>Narrating the abandonment: the documentary as a bridge between scientific research, local memory, heritage valorization, and risk awareness</w:t>
      </w:r>
    </w:p>
    <w:p>
      <w:pPr>
        <w:pStyle w:val="Authors"/>
      </w:pPr>
      <w:r>
        <w:t>Fabrizio Terenzio Gizzi</w:t>
      </w:r>
      <w:r>
        <w:t xml:space="preserve"> (</w:t>
      </w:r>
      <w:r>
        <w:rPr>
          <w:color w:val="636363"/>
          <w:sz w:val="20"/>
          <w:szCs w:val="20"/>
        </w:rPr>
        <w:t>CNR-ISPC</w:t>
      </w:r>
      <w:r>
        <w:t>)</w:t>
      </w:r>
      <w:r>
        <w:t xml:space="preserve">, </w:t>
      </w:r>
      <w:r>
        <w:t>Maria Rosaria Potenza</w:t>
      </w:r>
      <w:r>
        <w:t xml:space="preserve"> (</w:t>
      </w:r>
      <w:r>
        <w:rPr>
          <w:color w:val="636363"/>
          <w:sz w:val="20"/>
          <w:szCs w:val="20"/>
        </w:rPr>
        <w:t>CNR-ISPC</w:t>
      </w:r>
      <w:r>
        <w:t>)</w:t>
      </w:r>
      <w:r>
        <w:t xml:space="preserve">, </w:t>
      </w:r>
      <w:r>
        <w:t>Annarita Sannazzaro</w:t>
      </w:r>
      <w:r>
        <w:t xml:space="preserve"> (</w:t>
      </w:r>
      <w:r>
        <w:rPr>
          <w:color w:val="636363"/>
          <w:sz w:val="20"/>
          <w:szCs w:val="20"/>
        </w:rPr>
        <w:t>CNR-ISPC</w:t>
      </w:r>
      <w:r>
        <w:t>)</w:t>
      </w:r>
      <w:r>
        <w:t xml:space="preserve">, </w:t>
      </w:r>
      <w:r>
        <w:t>Marilisa Biscione</w:t>
      </w:r>
      <w:r>
        <w:t xml:space="preserve"> (</w:t>
      </w:r>
      <w:r>
        <w:rPr>
          <w:color w:val="636363"/>
          <w:sz w:val="20"/>
          <w:szCs w:val="20"/>
        </w:rPr>
        <w:t>CNR-ISPC</w:t>
      </w:r>
      <w:r>
        <w:t>)</w:t>
      </w:r>
      <w:r>
        <w:t xml:space="preserve">, </w:t>
      </w:r>
      <w:r>
        <w:t>Laviero Pepe</w:t>
      </w:r>
      <w:r>
        <w:t xml:space="preserve"> (</w:t>
      </w:r>
      <w:r>
        <w:rPr>
          <w:color w:val="636363"/>
          <w:sz w:val="20"/>
          <w:szCs w:val="20"/>
        </w:rPr>
        <w:t>CNR-ISPC</w:t>
      </w:r>
      <w:r>
        <w:t>)</w:t>
      </w:r>
      <w:r>
        <w:t xml:space="preserve">, </w:t>
      </w:r>
      <w:r>
        <w:t>Nicola Masini</w:t>
      </w:r>
      <w:r>
        <w:t xml:space="preserve"> (</w:t>
      </w:r>
      <w:r>
        <w:rPr>
          <w:color w:val="636363"/>
          <w:sz w:val="20"/>
          <w:szCs w:val="20"/>
        </w:rPr>
        <w:t>CNR - ISPC</w:t>
      </w:r>
      <w:r>
        <w:t>)</w:t>
      </w:r>
      <w:r>
        <w:t xml:space="preserve">, </w:t>
      </w:r>
      <w:r>
        <w:t>Michele Scioscia</w:t>
      </w:r>
      <w:r>
        <w:t xml:space="preserve"> (</w:t>
      </w:r>
      <w:r>
        <w:rPr>
          <w:color w:val="636363"/>
          <w:sz w:val="20"/>
          <w:szCs w:val="20"/>
        </w:rPr>
        <w:t>Effenove srl</w:t>
      </w:r>
      <w:r>
        <w:t>)</w:t>
      </w:r>
      <w:r>
        <w:t xml:space="preserve">, </w:t>
      </w:r>
      <w:r>
        <w:t>Mario Bentivenga</w:t>
      </w:r>
      <w:r>
        <w:t xml:space="preserve"> (</w:t>
      </w:r>
      <w:r>
        <w:rPr>
          <w:color w:val="636363"/>
          <w:sz w:val="20"/>
          <w:szCs w:val="20"/>
        </w:rPr>
        <w:t>Università della Basilicata</w:t>
      </w:r>
      <w:r>
        <w:t>)</w:t>
      </w:r>
      <w:r>
        <w:t xml:space="preserve">. </w:t>
      </w:r>
    </w:p>
    <w:p>
      <w:pPr>
        <w:pStyle w:val="Text"/>
      </w:pPr>
      <w:r>
        <w:t>The article discusses a prototypical mini documentary developed to narrate the abandonment of Craco Vecchia (Basilicata, Southern Italy). The documentary, developed through a close collaboration between Research and Development components, is based on a methodology that integrates geological and geomorphological analyses, historical-urban reconstruction, drone-based photogrammetric surveys, and animated 3D modelling. Its aim is to communicate, in an accessible yet rigorous way, the relationships between territorial features, urban development, human interventions, and landslide phenomena, in order to preserve the memory of places, enhance the site for more effective and conscious tourist use, and increase natural hazard risk awareness. The development of the documentary is part of the BEGIN project (abBandono vErsus riGenerazIoNe), funded by the Basilicata ROP ERDF 2014–2020.</w:t>
      </w:r>
    </w:p>
    <w:p>
      <w:pPr>
        <w:pStyle w:val="SubStyleBorder"/>
      </w:pPr>
      <w:bookmarkStart w:id="84" w:name="abs83"/>
      <w:r>
        <w:fldChar w:fldCharType="begin"/>
      </w:r>
      <w:r>
        <w:instrText xml:space="preserve">REF Index \h</w:instrText>
      </w:r>
      <w:r>
        <w:fldChar w:fldCharType="separate"/>
      </w:r>
      <w:r>
        <w:rPr>
          <w:color w:val="0000ff"/>
          <w:sz w:val="20"/>
          <w:szCs w:val="20"/>
        </w:rPr>
        <w:t>[6107]</w:t>
      </w:r>
      <w:r>
        <w:fldChar w:fldCharType="end"/>
      </w:r>
      <w:bookmarkEnd w:id="84"/>
      <w:r>
        <w:t xml:space="preserve"> </w:t>
      </w:r>
      <w:r>
        <w:rPr>
          <w:i/>
          <w:b/>
        </w:rPr>
        <w:t>From Sources to Voices: The K-OAr Framework for the Preservation, Documentation, and Reuse of Oral Archives</w:t>
      </w:r>
    </w:p>
    <w:p>
      <w:pPr>
        <w:pStyle w:val="Authors"/>
      </w:pPr>
      <w:r>
        <w:t>Silvia Calamai</w:t>
      </w:r>
      <w:r>
        <w:t xml:space="preserve"> (</w:t>
      </w:r>
      <w:r>
        <w:rPr>
          <w:color w:val="636363"/>
          <w:sz w:val="20"/>
          <w:szCs w:val="20"/>
        </w:rPr>
        <w:t>University of Siena, Department of Philology and Literary Criticism, Arezzo, Italy</w:t>
      </w:r>
      <w:r>
        <w:t>)</w:t>
      </w:r>
      <w:r>
        <w:t xml:space="preserve">, </w:t>
      </w:r>
      <w:r>
        <w:t>Monica Monachini</w:t>
      </w:r>
      <w:r>
        <w:t xml:space="preserve"> (</w:t>
      </w:r>
      <w:r>
        <w:rPr>
          <w:color w:val="636363"/>
          <w:sz w:val="20"/>
          <w:szCs w:val="20"/>
        </w:rPr>
        <w:t>Institute for Computational Linguistics “Antonio Zampolli”, CNR, Pisa, Italy</w:t>
      </w:r>
      <w:r>
        <w:t>)</w:t>
      </w:r>
      <w:r>
        <w:t xml:space="preserve">, </w:t>
      </w:r>
      <w:r>
        <w:t>Niccolò Pretto</w:t>
      </w:r>
      <w:r>
        <w:t xml:space="preserve"> (</w:t>
      </w:r>
      <w:r>
        <w:rPr>
          <w:color w:val="636363"/>
          <w:sz w:val="20"/>
          <w:szCs w:val="20"/>
        </w:rPr>
        <w:t>Free University of Bozen-Bolzano, Faculty of Engineering, Bolzano, Italy</w:t>
      </w:r>
      <w:r>
        <w:t>)</w:t>
      </w:r>
      <w:r>
        <w:t xml:space="preserve">, </w:t>
      </w:r>
      <w:r>
        <w:t>Sergio Canazza</w:t>
      </w:r>
      <w:r>
        <w:t xml:space="preserve"> (</w:t>
      </w:r>
      <w:r>
        <w:rPr>
          <w:color w:val="636363"/>
          <w:sz w:val="20"/>
          <w:szCs w:val="20"/>
        </w:rPr>
        <w:t>Centro di Sonologia Computazionale - Dept.Information Engineering (University of Padova)</w:t>
      </w:r>
      <w:r>
        <w:t>)</w:t>
      </w:r>
      <w:r>
        <w:t xml:space="preserve">. </w:t>
      </w:r>
    </w:p>
    <w:p>
      <w:pPr>
        <w:pStyle w:val="Text"/>
      </w:pPr>
      <w:r>
        <w:t>Oral archives constitute a form of sound and media heritage whose preservation cannot be reduced to the conservation of audio carriers or digital files. Their long-term value depends on the traceability of recording and digitisation processes, the documentation of speakers and contexts, the management of legal and ethical conditions, and the possibility of responsible access, reuse, and return to communities. This paper presents K-OAr, the CLARIN Knowledge Centre for Oral Archives in Italy, as an interdisciplinary infrastructure for the preservation, description, use and re-use of spoken heritage. The paper argues that oral archives should be understood as measurable cultural evidence: their reliability depends not only on signal quality, but also on metadata, provenance, consent, access policies, and uncertainty-aware documentation. Within the framework of cultural heritage metrology, K-OAr offers a model for transforming heterogeneous archival practices into transparent, interoperable, and accountable workflows. In this perspective, preservation is inseparable from reuse: voices are preserved when they remain intelligible, contextualised, legally usable, ethically accessible, and socially meaningful over time.</w:t>
      </w:r>
    </w:p>
    <w:p>
      <w:pPr>
        <w:pStyle w:val="SubStyleBorder"/>
      </w:pPr>
      <w:bookmarkStart w:id="85" w:name="abs84"/>
      <w:r>
        <w:fldChar w:fldCharType="begin"/>
      </w:r>
      <w:r>
        <w:instrText xml:space="preserve">REF Index \h</w:instrText>
      </w:r>
      <w:r>
        <w:fldChar w:fldCharType="separate"/>
      </w:r>
      <w:r>
        <w:rPr>
          <w:color w:val="0000ff"/>
          <w:sz w:val="20"/>
          <w:szCs w:val="20"/>
        </w:rPr>
        <w:t>[6249]</w:t>
      </w:r>
      <w:r>
        <w:fldChar w:fldCharType="end"/>
      </w:r>
      <w:bookmarkEnd w:id="85"/>
      <w:r>
        <w:t xml:space="preserve"> </w:t>
      </w:r>
      <w:r>
        <w:rPr>
          <w:i/>
          <w:b/>
        </w:rPr>
        <w:t>Architecture, Music and Metrology: A Transferable Inference Framework for Ancient Sacred Spaces</w:t>
      </w:r>
    </w:p>
    <w:p>
      <w:pPr>
        <w:pStyle w:val="Authors"/>
      </w:pPr>
      <w:r>
        <w:t>Fabrizio Barone</w:t>
      </w:r>
      <w:r>
        <w:t xml:space="preserve"> (</w:t>
      </w:r>
      <w:r>
        <w:rPr>
          <w:color w:val="636363"/>
          <w:sz w:val="20"/>
          <w:szCs w:val="20"/>
        </w:rPr>
        <w:t>University of Salerno</w:t>
      </w:r>
      <w:r>
        <w:t>)</w:t>
      </w:r>
      <w:r>
        <w:t xml:space="preserve">, </w:t>
      </w:r>
      <w:r>
        <w:t>Marco Casazza</w:t>
      </w:r>
      <w:r>
        <w:t xml:space="preserve"> (</w:t>
      </w:r>
      <w:r>
        <w:rPr>
          <w:color w:val="636363"/>
          <w:sz w:val="20"/>
          <w:szCs w:val="20"/>
        </w:rPr>
        <w:t>Università degli Studi di Salerno</w:t>
      </w:r>
      <w:r>
        <w:t>)</w:t>
      </w:r>
      <w:r>
        <w:t xml:space="preserve">. </w:t>
      </w:r>
    </w:p>
    <w:p>
      <w:pPr>
        <w:pStyle w:val="Text"/>
      </w:pPr>
      <w:r>
        <w:t>Ancient architecture and musical practices are usually investigated through evidence that differs in scale, reliability and measurability. This paper proposes a transferable metrological workflow for assessing whether archaeologically admissible buildings are physically compatible with independently constrained sonic practices. The framework separates historical admissibility, geometric reconstruction, music-historical hypotheses, architecture-specific forward modelling, quantitative comparison and uncertainty-aware interpretation. Transferability resides in the sequence of inference and reporting rules, not in a universal acoustic model or a presumed ancient design canon. Existing studies of the Delphic and Epidaurian tholoi and the Temple of Athena at Paestum serve only as illustrative applications; their numerical results are not repeated. The framework identifies the adaptations required for enclosed circular, rectangular and semi-open spaces, and establishes testable conditions for interpreting functional compatibility without inferring intentional design or reconstructing undocumented performances.</w:t>
      </w:r>
    </w:p>
    <w:p>
      <w:pPr>
        <w:pStyle w:val="SubStyleBorder"/>
      </w:pPr>
      <w:bookmarkStart w:id="86" w:name="abs85"/>
      <w:r>
        <w:fldChar w:fldCharType="begin"/>
      </w:r>
      <w:r>
        <w:instrText xml:space="preserve">REF Index \h</w:instrText>
      </w:r>
      <w:r>
        <w:fldChar w:fldCharType="separate"/>
      </w:r>
      <w:r>
        <w:rPr>
          <w:color w:val="0000ff"/>
          <w:sz w:val="20"/>
          <w:szCs w:val="20"/>
        </w:rPr>
        <w:t>[6252]</w:t>
      </w:r>
      <w:r>
        <w:fldChar w:fldCharType="end"/>
      </w:r>
      <w:bookmarkEnd w:id="86"/>
      <w:r>
        <w:t xml:space="preserve"> </w:t>
      </w:r>
      <w:r>
        <w:rPr>
          <w:i/>
          <w:b/>
        </w:rPr>
        <w:t>Machine learning and multispectral remote sensing for post-dictive analysis of archaeological remains: A case study from Alcantara Valley (Sicily)</w:t>
      </w:r>
    </w:p>
    <w:p>
      <w:pPr>
        <w:pStyle w:val="Authors"/>
      </w:pPr>
      <w:r>
        <w:t>Michele Mangiameli</w:t>
      </w:r>
      <w:r>
        <w:t xml:space="preserve"> (</w:t>
      </w:r>
      <w:r>
        <w:rPr>
          <w:color w:val="636363"/>
          <w:sz w:val="20"/>
          <w:szCs w:val="20"/>
        </w:rPr>
        <w:t>University of Catania, Department of Civil Engineering and Architecture (DICAR)</w:t>
      </w:r>
      <w:r>
        <w:t>)</w:t>
      </w:r>
      <w:r>
        <w:t xml:space="preserve">, </w:t>
      </w:r>
      <w:r>
        <w:t>Giuseppe Mussumeci</w:t>
      </w:r>
      <w:r>
        <w:t xml:space="preserve"> (</w:t>
      </w:r>
      <w:r>
        <w:rPr>
          <w:color w:val="636363"/>
          <w:sz w:val="20"/>
          <w:szCs w:val="20"/>
        </w:rPr>
        <w:t>University of Messina</w:t>
      </w:r>
      <w:r>
        <w:t>)</w:t>
      </w:r>
      <w:r>
        <w:t xml:space="preserve">, </w:t>
      </w:r>
      <w:r>
        <w:t>Livio Idà</w:t>
      </w:r>
      <w:r>
        <w:t xml:space="preserve"> (</w:t>
      </w:r>
      <w:r>
        <w:rPr>
          <w:color w:val="636363"/>
          <w:sz w:val="20"/>
          <w:szCs w:val="20"/>
        </w:rPr>
        <w:t>University of Catania, Department of Educational Science Catania</w:t>
      </w:r>
      <w:r>
        <w:t>)</w:t>
      </w:r>
      <w:r>
        <w:t xml:space="preserve">, </w:t>
      </w:r>
      <w:r>
        <w:t>Eleonora Pappalardo</w:t>
      </w:r>
      <w:r>
        <w:t xml:space="preserve"> (</w:t>
      </w:r>
      <w:r>
        <w:rPr>
          <w:color w:val="636363"/>
          <w:sz w:val="20"/>
          <w:szCs w:val="20"/>
        </w:rPr>
        <w:t>University of Catania, Department of Educational Science Catania</w:t>
      </w:r>
      <w:r>
        <w:t>)</w:t>
      </w:r>
      <w:r>
        <w:t xml:space="preserve">. </w:t>
      </w:r>
    </w:p>
    <w:p>
      <w:pPr>
        <w:pStyle w:val="Text"/>
      </w:pPr>
      <w:r>
        <w:t>Geomatics technologies, and in particular remote sensing, provide increasingly valuable, non-destructive tools for archaeological studies globally. Their benefits encompass rapid searching, multi-scale mapping, and quick analysis using various data sources. A particularly robust approach involves combining remote sensing with artificial intelligence, specifically machine learning algorithms, for the automatic recognition and distinction of archaeological remains. This work employs a post-dictive approach, utilizing multispectral remote sensing data and machine learning, to identify archaeological features within the volcanic Alcantara Valley, in Sicily, Italy, on the northern flank of Mount Etna.</w:t>
      </w:r>
    </w:p>
    <w:p>
      <w:pPr>
        <w:pStyle w:val="SubStyleBorder"/>
      </w:pPr>
      <w:bookmarkStart w:id="87" w:name="abs86"/>
      <w:r>
        <w:fldChar w:fldCharType="begin"/>
      </w:r>
      <w:r>
        <w:instrText xml:space="preserve">REF Index \h</w:instrText>
      </w:r>
      <w:r>
        <w:fldChar w:fldCharType="separate"/>
      </w:r>
      <w:r>
        <w:rPr>
          <w:color w:val="0000ff"/>
          <w:sz w:val="20"/>
          <w:szCs w:val="20"/>
        </w:rPr>
        <w:t>[6316]</w:t>
      </w:r>
      <w:r>
        <w:fldChar w:fldCharType="end"/>
      </w:r>
      <w:bookmarkEnd w:id="87"/>
      <w:r>
        <w:t xml:space="preserve"> </w:t>
      </w:r>
      <w:r>
        <w:rPr>
          <w:i/>
          <w:b/>
        </w:rPr>
        <w:t>Etruscan Blue, Etruscan Gold. Precious materials, sources of supply and contexts in the crafts of the cities of Etruria</w:t>
      </w:r>
    </w:p>
    <w:p>
      <w:pPr>
        <w:pStyle w:val="Authors"/>
      </w:pPr>
      <w:r>
        <w:t>Laura Maria Michetti</w:t>
      </w:r>
      <w:r>
        <w:t xml:space="preserve"> (</w:t>
      </w:r>
      <w:r>
        <w:rPr>
          <w:color w:val="636363"/>
          <w:sz w:val="20"/>
          <w:szCs w:val="20"/>
        </w:rPr>
        <w:t>Sapienza Università di Roma</w:t>
      </w:r>
      <w:r>
        <w:t>)</w:t>
      </w:r>
      <w:r>
        <w:t xml:space="preserve">. </w:t>
      </w:r>
    </w:p>
    <w:p>
      <w:pPr>
        <w:pStyle w:val="Text"/>
      </w:pPr>
      <w:r>
        <w:t>The growing interest in exploring aspects related to the supply of resources in the Etruscan world is certainly connected to the need to investigate the material dimensions of production in order to understand the economy of the major cities and their interaction with other Mediterranean contexts during the 1st millennium BCE.
A workshop held on May 2026 at the Department of Antiquities of Sapienza University of Rome, aimed to compare ongoing excavations in Etruscan sanctuaries that are bringing to light traces of these activities, enabling reflection on specific aspects of production dynamics. Starting from the evidence provided by the excavations at Pyrgi conducted by Sapienza University, the intention was to focus on Egyptian blue and gold, materials that are still relatively under-studied in terms of provenance, characteristics, and manufacturing processes, but for which new perspectives are emerging.</w:t>
      </w:r>
    </w:p>
    <w:p>
      <w:pPr>
        <w:pStyle w:val="SubStyleBorder"/>
      </w:pPr>
      <w:bookmarkStart w:id="88" w:name="abs87"/>
      <w:r>
        <w:fldChar w:fldCharType="begin"/>
      </w:r>
      <w:r>
        <w:instrText xml:space="preserve">REF Index \h</w:instrText>
      </w:r>
      <w:r>
        <w:fldChar w:fldCharType="separate"/>
      </w:r>
      <w:r>
        <w:rPr>
          <w:color w:val="0000ff"/>
          <w:sz w:val="20"/>
          <w:szCs w:val="20"/>
        </w:rPr>
        <w:t>[6368]</w:t>
      </w:r>
      <w:r>
        <w:fldChar w:fldCharType="end"/>
      </w:r>
      <w:bookmarkEnd w:id="88"/>
      <w:r>
        <w:t xml:space="preserve"> </w:t>
      </w:r>
      <w:r>
        <w:rPr>
          <w:i/>
          <w:b/>
        </w:rPr>
        <w:t>THE DENSITY AND WATER CONTENT AS FUNCTION OF P AND S WAVE VELOCITY IN THE CALCARENITIC STONES OF SOUTHERN APULIA</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In Apulia Region there is a dense historical-architectural and archaeological heritage built  with soft calcarenitic stones. These materials present significant problems of conservation related to their low durability and therefore know the intrinsic characteristics is crucial to evaluate the performance properties and their susceptibility to degradation. To evaluate the physical-mechanical characteristics of the stone materials is very useful to use non-destructive and non-invasive technologies such as ultrasonic, applicable both in situ and in the laboratory.
The factors influencing the propagation of elastic waves in the rocks are the structure, density, size and shape of the granules, porosity, anisotropy, the water content, stress and temperature. In this paper the effects of saturation on the elastic wave velocity and the relationship between density and elastic wave velocity were studied on Leccese stone. The ultrasonic P and S  wave velocity measurements were performed on cubic samples, under natural condictions (e.g. without applying external pressure on the samples), using the transmission method. The variations of the P and S wave velocity   were related to both the density and to the percentages of water content.</w:t>
      </w:r>
    </w:p>
    <w:p>
      <w:pPr>
        <w:pStyle w:val="SubStyleBorder"/>
      </w:pPr>
      <w:bookmarkStart w:id="89" w:name="abs88"/>
      <w:r>
        <w:fldChar w:fldCharType="begin"/>
      </w:r>
      <w:r>
        <w:instrText xml:space="preserve">REF Index \h</w:instrText>
      </w:r>
      <w:r>
        <w:fldChar w:fldCharType="separate"/>
      </w:r>
      <w:r>
        <w:rPr>
          <w:color w:val="0000ff"/>
          <w:sz w:val="20"/>
          <w:szCs w:val="20"/>
        </w:rPr>
        <w:t>[6563]</w:t>
      </w:r>
      <w:r>
        <w:fldChar w:fldCharType="end"/>
      </w:r>
      <w:bookmarkEnd w:id="89"/>
      <w:r>
        <w:t xml:space="preserve"> </w:t>
      </w:r>
      <w:r>
        <w:rPr>
          <w:i/>
          <w:b/>
        </w:rPr>
        <w:t>Intercomparison of Active and Passive Methods for Radon Exhalation Rate Assessment in Natural Stones of the “Val di Noto”, Sicily, Southern Italy: a case study</w:t>
      </w:r>
    </w:p>
    <w:p>
      <w:pPr>
        <w:pStyle w:val="Authors"/>
      </w:pPr>
      <w:r>
        <w:t>Lorenzo Pistorino</w:t>
      </w:r>
      <w:r>
        <w:t xml:space="preserve"> (</w:t>
      </w:r>
      <w:r>
        <w:rPr>
          <w:color w:val="636363"/>
          <w:sz w:val="20"/>
          <w:szCs w:val="20"/>
        </w:rPr>
        <w:t>Dip.to di Scienze Matematiche e Informatiche, Scienze Fisiche e Scienze della Terra, Università degli Studi di Messina</w:t>
      </w:r>
      <w:r>
        <w:t>)</w:t>
      </w:r>
      <w:r>
        <w:t xml:space="preserve">, </w:t>
      </w:r>
      <w:r>
        <w:t>Francesco Caridi</w:t>
      </w:r>
      <w:r>
        <w:t xml:space="preserve"> (</w:t>
      </w:r>
      <w:r>
        <w:rPr>
          <w:color w:val="636363"/>
          <w:sz w:val="20"/>
          <w:szCs w:val="20"/>
        </w:rPr>
        <w:t>Dip.to di Scienze Matematiche e Informatiche, Scienze Fisiche e Scienze della Terra, Università degli Studi di Messina</w:t>
      </w:r>
      <w:r>
        <w:t>)</w:t>
      </w:r>
      <w:r>
        <w:t xml:space="preserve">, </w:t>
      </w:r>
      <w:r>
        <w:t>Giuseppe Paladini</w:t>
      </w:r>
      <w:r>
        <w:t xml:space="preserve"> (</w:t>
      </w:r>
      <w:r>
        <w:rPr>
          <w:color w:val="636363"/>
          <w:sz w:val="20"/>
          <w:szCs w:val="20"/>
        </w:rPr>
        <w:t>Dip.to di Scienze Matematiche e Informatiche, Scienze Fisiche e Scienze della Terra, Università degli Studi di Messina</w:t>
      </w:r>
      <w:r>
        <w:t>)</w:t>
      </w:r>
      <w:r>
        <w:t xml:space="preserve">, </w:t>
      </w:r>
      <w:r>
        <w:t>Michele Guida</w:t>
      </w:r>
      <w:r>
        <w:t xml:space="preserve"> (</w:t>
      </w:r>
      <w:r>
        <w:rPr>
          <w:color w:val="636363"/>
          <w:sz w:val="20"/>
          <w:szCs w:val="20"/>
        </w:rPr>
        <w:t>Dipartimento di Ingegneria dell'Informazione ed Elettrica e Matematica applicata, Università di Salerno</w:t>
      </w:r>
      <w:r>
        <w:t>)</w:t>
      </w:r>
      <w:r>
        <w:t xml:space="preserve">, </w:t>
      </w:r>
      <w:r>
        <w:t>Simona Mancini</w:t>
      </w:r>
      <w:r>
        <w:t xml:space="preserve"> (</w:t>
      </w:r>
      <w:r>
        <w:rPr>
          <w:color w:val="636363"/>
          <w:sz w:val="20"/>
          <w:szCs w:val="20"/>
        </w:rPr>
        <w:t>Dipartimento di Ingegneria dell'Informazione ed Elettrica e Matematica applicata, Università di Salerno</w:t>
      </w:r>
      <w:r>
        <w:t>)</w:t>
      </w:r>
      <w:r>
        <w:t xml:space="preserve">, </w:t>
      </w:r>
      <w:r>
        <w:t>Domenico Majolino</w:t>
      </w:r>
      <w:r>
        <w:t xml:space="preserve"> (</w:t>
      </w:r>
      <w:r>
        <w:rPr>
          <w:color w:val="636363"/>
          <w:sz w:val="20"/>
          <w:szCs w:val="20"/>
        </w:rPr>
        <w:t>Dip.to di Scienze Matematiche e Informatiche, Scienze Fisiche e Scienze della Terra, Università degli Studi di Messina</w:t>
      </w:r>
      <w:r>
        <w:t>)</w:t>
      </w:r>
      <w:r>
        <w:t xml:space="preserve">, </w:t>
      </w:r>
      <w:r>
        <w:t>Valentina Venuti</w:t>
      </w:r>
      <w:r>
        <w:t xml:space="preserve"> (</w:t>
      </w:r>
      <w:r>
        <w:rPr>
          <w:color w:val="636363"/>
          <w:sz w:val="20"/>
          <w:szCs w:val="20"/>
        </w:rPr>
        <w:t>Dip.to di Scienze Matematiche e Informatiche, Scienze Fisiche e Scienze della Terra, Università degli Studi di Messina</w:t>
      </w:r>
      <w:r>
        <w:t>)</w:t>
      </w:r>
      <w:r>
        <w:t xml:space="preserve">. </w:t>
      </w:r>
    </w:p>
    <w:p>
      <w:pPr>
        <w:pStyle w:val="Text"/>
      </w:pPr>
      <w:r>
        <w:t>Radon exhalation from building materials represents a significant source of indoor radon and requires accurate quantification. This study aims to compare the accuracy of two measurement techniques for the determination of radon exhalation rates.
Three calcarenitic lithotypes from the Val di Noto area, Sicily, Southern Italy (i.e. Noto, Modica, and Comiso stones) widely employed in its historical and architectural heritage, are reported here as a case study.  Measurements were performed under controlled laboratory conditions using both active and passive methods, based on a continuous radon monitor (RAD7) and electret ion chambers (E-PERM), respectively. The agreement between the two methods was assessed using a statistical u-test applied to measurements and their associated uncertainties.</w:t>
      </w:r>
    </w:p>
    <w:p>
      <w:pPr>
        <w:pStyle w:val="SubStyleBorder"/>
      </w:pPr>
      <w:bookmarkStart w:id="90" w:name="abs89"/>
      <w:r>
        <w:fldChar w:fldCharType="begin"/>
      </w:r>
      <w:r>
        <w:instrText xml:space="preserve">REF Index \h</w:instrText>
      </w:r>
      <w:r>
        <w:fldChar w:fldCharType="separate"/>
      </w:r>
      <w:r>
        <w:rPr>
          <w:color w:val="0000ff"/>
          <w:sz w:val="20"/>
          <w:szCs w:val="20"/>
        </w:rPr>
        <w:t>[6571]</w:t>
      </w:r>
      <w:r>
        <w:fldChar w:fldCharType="end"/>
      </w:r>
      <w:bookmarkEnd w:id="90"/>
      <w:r>
        <w:t xml:space="preserve"> </w:t>
      </w:r>
      <w:r>
        <w:rPr>
          <w:i/>
          <w:b/>
        </w:rPr>
        <w:t>Resonant architecture: Vibroacoustic functional implications in the temple of Athena at Paestum, Italy</w:t>
      </w:r>
    </w:p>
    <w:p>
      <w:pPr>
        <w:pStyle w:val="Authors"/>
      </w:pPr>
      <w:r>
        <w:t>Fabrizio Barone</w:t>
      </w:r>
      <w:r>
        <w:t xml:space="preserve"> (</w:t>
      </w:r>
      <w:r>
        <w:rPr>
          <w:color w:val="636363"/>
          <w:sz w:val="20"/>
          <w:szCs w:val="20"/>
        </w:rPr>
        <w:t>University of Salerno</w:t>
      </w:r>
      <w:r>
        <w:t>)</w:t>
      </w:r>
      <w:r>
        <w:t xml:space="preserve">, </w:t>
      </w:r>
      <w:r>
        <w:t>Marco Casazza</w:t>
      </w:r>
      <w:r>
        <w:t xml:space="preserve"> (</w:t>
      </w:r>
      <w:r>
        <w:rPr>
          <w:color w:val="636363"/>
          <w:sz w:val="20"/>
          <w:szCs w:val="20"/>
        </w:rPr>
        <w:t>Università degli Studi di Salerno</w:t>
      </w:r>
      <w:r>
        <w:t>)</w:t>
      </w:r>
      <w:r>
        <w:t xml:space="preserve">. </w:t>
      </w:r>
    </w:p>
    <w:p>
      <w:pPr>
        <w:pStyle w:val="Text"/>
      </w:pPr>
      <w:r>
        <w:t>This paper proposes a first-order metrological framework for testing acoustic compatibility between the reconstructed naos of the Temple of Athena at Paestum and a selected set of rational musical intervals. The main methodological correction is to separate exact high-order matching, which is a generic arithmetic property of any integer harmonic series, from geometry-dependent frequency placement, which is the architectural output of interest. The naos is modelled through its longitudinal axial modes using an effective reconstruction envelope  = 15.0-15.5 m. Lower-order approximation is quantified in cents. The first sub-12-cent case occurs at  = 24; the best result for  ≤ 60 is  = 54 with Δmax = 7.11 cents. The results support functional acoustic compatibility as a testable hypothesis, not intentional tuning, and define the requirements for future threedimensional modelling and uncertainty evaluation</w:t>
      </w:r>
    </w:p>
    <w:p>
      <w:pPr>
        <w:pStyle w:val="SubStyleBorder"/>
      </w:pPr>
      <w:bookmarkStart w:id="91" w:name="abs90"/>
      <w:r>
        <w:fldChar w:fldCharType="begin"/>
      </w:r>
      <w:r>
        <w:instrText xml:space="preserve">REF Index \h</w:instrText>
      </w:r>
      <w:r>
        <w:fldChar w:fldCharType="separate"/>
      </w:r>
      <w:r>
        <w:rPr>
          <w:color w:val="0000ff"/>
          <w:sz w:val="20"/>
          <w:szCs w:val="20"/>
        </w:rPr>
        <w:t>[6621]</w:t>
      </w:r>
      <w:r>
        <w:fldChar w:fldCharType="end"/>
      </w:r>
      <w:bookmarkEnd w:id="91"/>
      <w:r>
        <w:t xml:space="preserve"> </w:t>
      </w:r>
      <w:r>
        <w:rPr>
          <w:i/>
          <w:b/>
        </w:rPr>
        <w:t>Structural control solutions for the seismic protection of architectural heritage</w:t>
      </w:r>
    </w:p>
    <w:p>
      <w:pPr>
        <w:pStyle w:val="Authors"/>
      </w:pPr>
      <w:r>
        <w:t>Cristian Capodicasa</w:t>
      </w:r>
      <w:r>
        <w:t xml:space="preserve"> (</w:t>
      </w:r>
      <w:r>
        <w:rPr>
          <w:color w:val="636363"/>
          <w:sz w:val="20"/>
          <w:szCs w:val="20"/>
        </w:rPr>
        <w:t>Politecnico di Torino</w:t>
      </w:r>
      <w:r>
        <w:t>)</w:t>
      </w:r>
      <w:r>
        <w:t xml:space="preserve">, </w:t>
      </w:r>
      <w:r>
        <w:t>Valeria Cavanni</w:t>
      </w:r>
      <w:r>
        <w:t xml:space="preserve"> (</w:t>
      </w:r>
      <w:r>
        <w:rPr>
          <w:color w:val="636363"/>
          <w:sz w:val="20"/>
          <w:szCs w:val="20"/>
        </w:rPr>
        <w:t>Politecnico di Torino</w:t>
      </w:r>
      <w:r>
        <w:t>)</w:t>
      </w:r>
      <w:r>
        <w:t xml:space="preserve">, </w:t>
      </w:r>
      <w:r>
        <w:t>Linda Scussolini</w:t>
      </w:r>
      <w:r>
        <w:t xml:space="preserve"> (</w:t>
      </w:r>
      <w:r>
        <w:rPr>
          <w:color w:val="636363"/>
          <w:sz w:val="20"/>
          <w:szCs w:val="20"/>
        </w:rPr>
        <w:t>Politecnico di Torino</w:t>
      </w:r>
      <w:r>
        <w:t>)</w:t>
      </w:r>
      <w:r>
        <w:t xml:space="preserve">, </w:t>
      </w:r>
      <w:r>
        <w:t>Rosario Ceravolo</w:t>
      </w:r>
      <w:r>
        <w:t xml:space="preserve"> (</w:t>
      </w:r>
      <w:r>
        <w:rPr>
          <w:color w:val="636363"/>
          <w:sz w:val="20"/>
          <w:szCs w:val="20"/>
        </w:rPr>
        <w:t>Politecnico di Torino</w:t>
      </w:r>
      <w:r>
        <w:t>)</w:t>
      </w:r>
      <w:r>
        <w:t xml:space="preserve">. </w:t>
      </w:r>
    </w:p>
    <w:p>
      <w:pPr>
        <w:pStyle w:val="Text"/>
      </w:pPr>
      <w:r>
        <w:t>Reducing seismic vulnerability of architectural heritage structures represents a major challenge in structural engineering. The preservation of such heritage, which often exhibits significant weaknesses due to degradation, ageing, and construction practices, requires solutions able to improve safety under dynamic loading while respecting its cultural value. As an alternative to traditional strengthening interventions, structural control systems can offer a proactive strategy to mitigate seismic effects. The key challenge lies in the development of low-impact solutions with sufficient adaptability to non-conventional structural configurations. In recent years, various structural control solutions have been employed in contexts of architectural heritage, revealing a promising direction for further research. This study investigates the feasibility of a non-conventional strengthening intervention for the reduction of the overturning vulnerability of protruding masonry façades. The device is investigated through a numerical study on the church of Santa Caterina in Casale Monferrato, Italy, whose façade is currently equipped with a conventional strengthening intervention.</w:t>
      </w:r>
    </w:p>
    <w:p>
      <w:pPr>
        <w:pStyle w:val="SubStyleBorder"/>
      </w:pPr>
      <w:bookmarkStart w:id="92" w:name="abs91"/>
      <w:r>
        <w:fldChar w:fldCharType="begin"/>
      </w:r>
      <w:r>
        <w:instrText xml:space="preserve">REF Index \h</w:instrText>
      </w:r>
      <w:r>
        <w:fldChar w:fldCharType="separate"/>
      </w:r>
      <w:r>
        <w:rPr>
          <w:color w:val="0000ff"/>
          <w:sz w:val="20"/>
          <w:szCs w:val="20"/>
        </w:rPr>
        <w:t>[6653]</w:t>
      </w:r>
      <w:r>
        <w:fldChar w:fldCharType="end"/>
      </w:r>
      <w:bookmarkEnd w:id="92"/>
      <w:r>
        <w:t xml:space="preserve"> </w:t>
      </w:r>
      <w:r>
        <w:rPr>
          <w:i/>
          <w:b/>
        </w:rPr>
        <w:t>Integrated diagnostic campaign on a Roman mural painting in the Aragonese Castle of Baia (Naples, Italy): A case study</w:t>
      </w:r>
    </w:p>
    <w:p>
      <w:pPr>
        <w:pStyle w:val="Authors"/>
      </w:pPr>
      <w:r>
        <w:t>Valentina Di Sarno</w:t>
      </w:r>
      <w:r>
        <w:t xml:space="preserve"> (</w:t>
      </w:r>
      <w:r>
        <w:rPr>
          <w:color w:val="636363"/>
          <w:sz w:val="20"/>
          <w:szCs w:val="20"/>
        </w:rPr>
        <w:t>Institute of Optics (INO), National Research Council (CNR), Pozzuoli (Naples)</w:t>
      </w:r>
      <w:r>
        <w:t>)</w:t>
      </w:r>
      <w:r>
        <w:t xml:space="preserve">, </w:t>
      </w:r>
      <w:r>
        <w:t>Mikhalis Andrianakis</w:t>
      </w:r>
      <w:r>
        <w:t xml:space="preserve"> (</w:t>
      </w:r>
      <w:r>
        <w:rPr>
          <w:color w:val="636363"/>
          <w:sz w:val="20"/>
          <w:szCs w:val="20"/>
        </w:rPr>
        <w:t>Institute of Electronic Structure and Laser (IESL), Foundation for Research and Technology – Hellas (FORTH)</w:t>
      </w:r>
      <w:r>
        <w:t>)</w:t>
      </w:r>
      <w:r>
        <w:t xml:space="preserve">, </w:t>
      </w:r>
      <w:r>
        <w:t>Cecilia Auditore</w:t>
      </w:r>
      <w:r>
        <w:t xml:space="preserve"> (</w:t>
      </w:r>
      <w:r>
        <w:rPr>
          <w:color w:val="636363"/>
          <w:sz w:val="20"/>
          <w:szCs w:val="20"/>
        </w:rPr>
        <w:t>Parco archeologico dei Campi Flegrei, Naples</w:t>
      </w:r>
      <w:r>
        <w:t>)</w:t>
      </w:r>
      <w:r>
        <w:t xml:space="preserve">, </w:t>
      </w:r>
      <w:r>
        <w:t>Silvana Carannante</w:t>
      </w:r>
      <w:r>
        <w:t xml:space="preserve"> (</w:t>
      </w:r>
      <w:r>
        <w:rPr>
          <w:color w:val="636363"/>
          <w:sz w:val="20"/>
          <w:szCs w:val="20"/>
        </w:rPr>
        <w:t>Parco archeologico dei Campi Flegrei, Naples</w:t>
      </w:r>
      <w:r>
        <w:t>)</w:t>
      </w:r>
      <w:r>
        <w:t xml:space="preserve">, </w:t>
      </w:r>
      <w:r>
        <w:t>Ilaria Catapano</w:t>
      </w:r>
      <w:r>
        <w:t xml:space="preserve"> (</w:t>
      </w:r>
      <w:r>
        <w:rPr>
          <w:color w:val="636363"/>
          <w:sz w:val="20"/>
          <w:szCs w:val="20"/>
        </w:rPr>
        <w:t>Institute for Electromagnetic Sensing of the Environment (IREA), National Research Council (CNR), Naples</w:t>
      </w:r>
      <w:r>
        <w:t>)</w:t>
      </w:r>
      <w:r>
        <w:t xml:space="preserve">, </w:t>
      </w:r>
      <w:r>
        <w:t>Antonina Chaban</w:t>
      </w:r>
      <w:r>
        <w:t xml:space="preserve"> (</w:t>
      </w:r>
      <w:r>
        <w:rPr>
          <w:color w:val="636363"/>
          <w:sz w:val="20"/>
          <w:szCs w:val="20"/>
        </w:rPr>
        <w:t>Institute of Optics (INO), National Research Council (CNR), Florence, Italy</w:t>
      </w:r>
      <w:r>
        <w:t>)</w:t>
      </w:r>
      <w:r>
        <w:t xml:space="preserve">, </w:t>
      </w:r>
      <w:r>
        <w:t>Raffaella Fontana</w:t>
      </w:r>
      <w:r>
        <w:t xml:space="preserve"> (</w:t>
      </w:r>
      <w:r>
        <w:rPr>
          <w:color w:val="636363"/>
          <w:sz w:val="20"/>
          <w:szCs w:val="20"/>
        </w:rPr>
        <w:t>Institute of Optics (INO), National Research Council (CNR), Florence, Italy</w:t>
      </w:r>
      <w:r>
        <w:t>)</w:t>
      </w:r>
      <w:r>
        <w:t xml:space="preserve">, </w:t>
      </w:r>
      <w:r>
        <w:t>Vito Pagliarulo</w:t>
      </w:r>
      <w:r>
        <w:t xml:space="preserve"> (</w:t>
      </w:r>
      <w:r>
        <w:rPr>
          <w:color w:val="636363"/>
          <w:sz w:val="20"/>
          <w:szCs w:val="20"/>
        </w:rPr>
        <w:t>Institute of Applied Sciences and Intelligent Systems (ISASI), National Research Council (CNR), Pozzuoli, Italy</w:t>
      </w:r>
      <w:r>
        <w:t>)</w:t>
      </w:r>
      <w:r>
        <w:t xml:space="preserve">, </w:t>
      </w:r>
      <w:r>
        <w:t>Melania Paturzo</w:t>
      </w:r>
      <w:r>
        <w:t xml:space="preserve"> (</w:t>
      </w:r>
      <w:r>
        <w:rPr>
          <w:color w:val="636363"/>
          <w:sz w:val="20"/>
          <w:szCs w:val="20"/>
        </w:rPr>
        <w:t>Institute of Applied Sciences and Intelligent Systems (ISASI), National Research Council (CNR), Pozzuoli, Italy</w:t>
      </w:r>
      <w:r>
        <w:t>)</w:t>
      </w:r>
      <w:r>
        <w:t xml:space="preserve">, </w:t>
      </w:r>
      <w:r>
        <w:t>Fabio Pagano</w:t>
      </w:r>
      <w:r>
        <w:t xml:space="preserve"> (</w:t>
      </w:r>
      <w:r>
        <w:rPr>
          <w:color w:val="636363"/>
          <w:sz w:val="20"/>
          <w:szCs w:val="20"/>
        </w:rPr>
        <w:t>Parco archeologico dei Campi Flegrei, Naples</w:t>
      </w:r>
      <w:r>
        <w:t>)</w:t>
      </w:r>
      <w:r>
        <w:t xml:space="preserve">, </w:t>
      </w:r>
      <w:r>
        <w:t>Chiara Saltarelli</w:t>
      </w:r>
      <w:r>
        <w:t xml:space="preserve"> (</w:t>
      </w:r>
      <w:r>
        <w:rPr>
          <w:color w:val="636363"/>
          <w:sz w:val="20"/>
          <w:szCs w:val="20"/>
        </w:rPr>
        <w:t>Department of Sciences of Antiquities, Sapienza University of Rome, Institute of Heritage Science (ISPC),-CNR,</w:t>
      </w:r>
      <w:r>
        <w:t>)</w:t>
      </w:r>
      <w:r>
        <w:t xml:space="preserve">, </w:t>
      </w:r>
      <w:r>
        <w:t>Emma Vannini</w:t>
      </w:r>
      <w:r>
        <w:t xml:space="preserve"> (</w:t>
      </w:r>
      <w:r>
        <w:rPr>
          <w:color w:val="636363"/>
          <w:sz w:val="20"/>
          <w:szCs w:val="20"/>
        </w:rPr>
        <w:t>INO-CNR, Department of Physics and Astronomy, University of Florence, Sesto Fiorentino (FI), Italy</w:t>
      </w:r>
      <w:r>
        <w:t>)</w:t>
      </w:r>
      <w:r>
        <w:t xml:space="preserve">, </w:t>
      </w:r>
      <w:r>
        <w:t>Vivi Tornari</w:t>
      </w:r>
      <w:r>
        <w:t xml:space="preserve"> (</w:t>
      </w:r>
      <w:r>
        <w:rPr>
          <w:color w:val="636363"/>
          <w:sz w:val="20"/>
          <w:szCs w:val="20"/>
        </w:rPr>
        <w:t>(IESL), Foundation for Research and Technology – Hellas (FORTH),</w:t>
      </w:r>
      <w:r>
        <w:t>)</w:t>
      </w:r>
      <w:r>
        <w:t xml:space="preserve">, </w:t>
      </w:r>
      <w:r>
        <w:t>Alessandra Rocco</w:t>
      </w:r>
      <w:r>
        <w:t xml:space="preserve"> (</w:t>
      </w:r>
      <w:r>
        <w:rPr>
          <w:color w:val="636363"/>
          <w:sz w:val="20"/>
          <w:szCs w:val="20"/>
        </w:rPr>
        <w:t>Institute of Optics (INO), National Research Council (CNR), Pozzuoli (Naples)</w:t>
      </w:r>
      <w:r>
        <w:t>)</w:t>
      </w:r>
      <w:r>
        <w:t xml:space="preserve">. </w:t>
      </w:r>
    </w:p>
    <w:p>
      <w:pPr>
        <w:pStyle w:val="Text"/>
      </w:pPr>
      <w:r>
        <w:t>Abstract – We present a multi-instrument non-invasive diagnostic campaign on a Roman Second Style mural painting at the Aragonese Castle of Baia (Naples, Italy), a heritage site subject to active bradyseismic deformation within the Campi Flegrei caldera. The campaign integrates Digital Holographic Speckle Pattern Interferometry (DHSPI), Stimulated Infrared Thermography (SIRT), Digital Shearography Interferometry (DSSPI), and Ground-Penetrating Radar (GPR). Each technique provides complementary information: DHSPI maps subsurface mechanical discontinuities with sub-micrometric sensitivity; SIRT detects thermal anomalies associated with voids, delaminations and detachments; DSSPI reveals displacement-gradient concentrations associated with crack tips and detachment boundaries; GPR provides depth-resolved stratigraphic characterization of the internal wall structure. Cross-validation of the four datasets enables a reliable classification of the conservation state of six regions of interest and identifies areas requiring priority intervention, providing a baseline for future time-lapse monitoring.</w:t>
      </w:r>
    </w:p>
    <w:p>
      <w:pPr>
        <w:pStyle w:val="SubStyleBorder"/>
      </w:pPr>
      <w:bookmarkStart w:id="93" w:name="abs92"/>
      <w:r>
        <w:fldChar w:fldCharType="begin"/>
      </w:r>
      <w:r>
        <w:instrText xml:space="preserve">REF Index \h</w:instrText>
      </w:r>
      <w:r>
        <w:fldChar w:fldCharType="separate"/>
      </w:r>
      <w:r>
        <w:rPr>
          <w:color w:val="0000ff"/>
          <w:sz w:val="20"/>
          <w:szCs w:val="20"/>
        </w:rPr>
        <w:t>[6801]</w:t>
      </w:r>
      <w:r>
        <w:fldChar w:fldCharType="end"/>
      </w:r>
      <w:bookmarkEnd w:id="93"/>
      <w:r>
        <w:t xml:space="preserve"> </w:t>
      </w:r>
      <w:r>
        <w:rPr>
          <w:i/>
          <w:b/>
        </w:rPr>
        <w:t>Bioconsolidation of Wall Painting Support Materials in Side Boyalıin Cave Church (Antalya, Türkiye)</w:t>
      </w:r>
    </w:p>
    <w:p>
      <w:pPr>
        <w:pStyle w:val="Authors"/>
      </w:pPr>
      <w:r>
        <w:t>Bilgesu Şen</w:t>
      </w:r>
      <w:r>
        <w:t xml:space="preserve"> (</w:t>
      </w:r>
      <w:r>
        <w:rPr>
          <w:color w:val="636363"/>
          <w:sz w:val="20"/>
          <w:szCs w:val="20"/>
        </w:rPr>
        <w:t>Ankara Haci Bayram Veli University, PhD Program of Conservation of Cultural Properties</w:t>
      </w:r>
      <w:r>
        <w:t>)</w:t>
      </w:r>
      <w:r>
        <w:t xml:space="preserve">. </w:t>
      </w:r>
    </w:p>
    <w:p>
      <w:pPr>
        <w:pStyle w:val="Text"/>
      </w:pPr>
      <w:r>
        <w:t>Side Boyalıin Cave Church, located in Antalya (Türkiye), preserves unique wall paintings executed on lime plaster layers applied over a carbonate-rich conglomeratic rock substrate. The conservation of these paintings is challenged by material deterioration and microbial colonization associated with the cave environment. This study investigates the applicability of a bacterial bioconsolidation treatment on both lime plaster and carbonate conglomerate supports and evaluates its effects through a multidisciplinary analytical approach. Structural and mineralogical changes induced by the treatment were monitored using scanning electron microscopy coupled with energy-dispersive spectroscopy (SEM–EDX) and X-ray diffraction (XRD), while microbial community dynamics before and after treatment were assessed through metagenomic analyses. Preliminary SEM observations revealed progressive mineral accumulation on treated surfaces, accompanied by partial pore filling and increased cohesion of surface particles. EDS analyses indicated calcium-rich deposits associated with newly formed mineral phases. These findings suggest that the applied treatment may contribute to the consolidation of carbonate-based substrates while enabling the evaluation of its impact on resident microbial communities. Ongoing mineralogical and metagenomic investigations will provide further insights into the long-term effectiveness and microbiological implications of the treatment.</w:t>
      </w:r>
    </w:p>
    <w:p>
      <w:pPr>
        <w:pStyle w:val="SubStyleBorder"/>
      </w:pPr>
      <w:bookmarkStart w:id="94" w:name="abs93"/>
      <w:r>
        <w:fldChar w:fldCharType="begin"/>
      </w:r>
      <w:r>
        <w:instrText xml:space="preserve">REF Index \h</w:instrText>
      </w:r>
      <w:r>
        <w:fldChar w:fldCharType="separate"/>
      </w:r>
      <w:r>
        <w:rPr>
          <w:color w:val="0000ff"/>
          <w:sz w:val="20"/>
          <w:szCs w:val="20"/>
        </w:rPr>
        <w:t>[6818]</w:t>
      </w:r>
      <w:r>
        <w:fldChar w:fldCharType="end"/>
      </w:r>
      <w:bookmarkEnd w:id="94"/>
      <w:r>
        <w:t xml:space="preserve"> </w:t>
      </w:r>
      <w:r>
        <w:rPr>
          <w:i/>
          <w:b/>
        </w:rPr>
        <w:t>Uncertainty Propagation from Operational Modal Analysis to Mechanical Property Estimates in Historical Masonry Towers</w:t>
      </w:r>
    </w:p>
    <w:p>
      <w:pPr>
        <w:pStyle w:val="Authors"/>
      </w:pPr>
      <w:r>
        <w:t>Armando La Scala</w:t>
      </w:r>
      <w:r>
        <w:t xml:space="preserve"> (</w:t>
      </w:r>
      <w:r>
        <w:rPr>
          <w:color w:val="636363"/>
          <w:sz w:val="20"/>
          <w:szCs w:val="20"/>
        </w:rPr>
        <w:t>Politecnico di Bari</w:t>
      </w:r>
      <w:r>
        <w:t>)</w:t>
      </w:r>
      <w:r>
        <w:t xml:space="preserve">, </w:t>
      </w:r>
      <w:r>
        <w:t>Andrea Miano</w:t>
      </w:r>
      <w:r>
        <w:t xml:space="preserve"> (</w:t>
      </w:r>
      <w:r>
        <w:rPr>
          <w:color w:val="636363"/>
          <w:sz w:val="20"/>
          <w:szCs w:val="20"/>
        </w:rPr>
        <w:t>Università Telematica Pegaso</w:t>
      </w:r>
      <w:r>
        <w:t>)</w:t>
      </w:r>
      <w:r>
        <w:t xml:space="preserve">, </w:t>
      </w:r>
      <w:r>
        <w:t>Francesco Fabbrocino</w:t>
      </w:r>
      <w:r>
        <w:t xml:space="preserve"> (</w:t>
      </w:r>
      <w:r>
        <w:rPr>
          <w:color w:val="636363"/>
          <w:sz w:val="20"/>
          <w:szCs w:val="20"/>
        </w:rPr>
        <w:t>Università Telematica Pegaso</w:t>
      </w:r>
      <w:r>
        <w:t>)</w:t>
      </w:r>
      <w:r>
        <w:t xml:space="preserve">, </w:t>
      </w:r>
      <w:r>
        <w:t>Andrea Prota</w:t>
      </w:r>
      <w:r>
        <w:t xml:space="preserve"> (</w:t>
      </w:r>
      <w:r>
        <w:rPr>
          <w:color w:val="636363"/>
          <w:sz w:val="20"/>
          <w:szCs w:val="20"/>
        </w:rPr>
        <w:t>Università degli Studi di Napoli Federico II</w:t>
      </w:r>
      <w:r>
        <w:t>)</w:t>
      </w:r>
      <w:r>
        <w:t xml:space="preserve">, </w:t>
      </w:r>
      <w:r>
        <w:t>Dora Foti</w:t>
      </w:r>
      <w:r>
        <w:t xml:space="preserve"> (</w:t>
      </w:r>
      <w:r>
        <w:rPr>
          <w:color w:val="636363"/>
          <w:sz w:val="20"/>
          <w:szCs w:val="20"/>
        </w:rPr>
        <w:t>Polytechnic University of Bari</w:t>
      </w:r>
      <w:r>
        <w:t>)</w:t>
      </w:r>
      <w:r>
        <w:t xml:space="preserve">. </w:t>
      </w:r>
    </w:p>
    <w:p>
      <w:pPr>
        <w:pStyle w:val="Text"/>
      </w:pPr>
      <w:r>
        <w:t>The fundamental natural frequency of a historical masonry tower can be obtained either experimentally, through Operational Modal Analysis (OMA), or numerically, through finite element (FE) modelling. This paper compares the two routes from a metrological standpoint, using the bell tower of the Church of San Nicola in Adelfia (Bari, Italy) as a case study. The experimental frequency is identified by Frequency Domain Decomposition (FDD) applied to four ambientvibration sessions and is reported with its associated uncertainty. The numerical frequency is obtained from a large database of FE modal analyses, used as a datadriven surrogate, and its predictive uncertainty is propagated by Monte Carlo simulation from the uncertainty of the tower parameters. The measured value (1.875 ± 0.072 Hz, k = 2) and the predicted value (1.844 ± 0.503 Hz, k = 2) are in close agreement (0.12 standard deviations), but their uncertainties differ by almost one order of magnitude. The predictive uncertainty (about 27%) is dominated by the elastic modulus and mass density, whereas the experimental uncertainty (about 4%) is governed by spectral resolution. The result quantifies the well-known but rarely measured fact that, for masonry towers, the experimental identification of the fundamental frequency is far more precise than its a-priori numerical prediction.</w:t>
      </w:r>
    </w:p>
    <w:p>
      <w:pPr>
        <w:pStyle w:val="SubStyleBorder"/>
      </w:pPr>
      <w:bookmarkStart w:id="95" w:name="abs94"/>
      <w:r>
        <w:fldChar w:fldCharType="begin"/>
      </w:r>
      <w:r>
        <w:instrText xml:space="preserve">REF Index \h</w:instrText>
      </w:r>
      <w:r>
        <w:fldChar w:fldCharType="separate"/>
      </w:r>
      <w:r>
        <w:rPr>
          <w:color w:val="0000ff"/>
          <w:sz w:val="20"/>
          <w:szCs w:val="20"/>
        </w:rPr>
        <w:t>[6942]</w:t>
      </w:r>
      <w:r>
        <w:fldChar w:fldCharType="end"/>
      </w:r>
      <w:bookmarkEnd w:id="95"/>
      <w:r>
        <w:t xml:space="preserve"> </w:t>
      </w:r>
      <w:r>
        <w:rPr>
          <w:i/>
          <w:b/>
        </w:rPr>
        <w:t>Comparison and analysis of two mobile laser scanner. The survey of the Tempio di Venere (Caserta, Italy)</w:t>
      </w:r>
    </w:p>
    <w:p>
      <w:pPr>
        <w:pStyle w:val="Authors"/>
      </w:pPr>
      <w:r>
        <w:t>Francesco Tosti</w:t>
      </w:r>
      <w:r>
        <w:t xml:space="preserve"> (</w:t>
      </w:r>
      <w:r>
        <w:rPr>
          <w:color w:val="636363"/>
          <w:sz w:val="20"/>
          <w:szCs w:val="20"/>
        </w:rPr>
        <w:t>Sapienza, University of Rome</w:t>
      </w:r>
      <w:r>
        <w:t>)</w:t>
      </w:r>
      <w:r>
        <w:t xml:space="preserve">, </w:t>
      </w:r>
      <w:r>
        <w:t>Samuele Giuliani</w:t>
      </w:r>
      <w:r>
        <w:t xml:space="preserve"> (</w:t>
      </w:r>
      <w:r>
        <w:rPr>
          <w:color w:val="636363"/>
          <w:sz w:val="20"/>
          <w:szCs w:val="20"/>
        </w:rPr>
        <w:t>Sapienza, University of Rome</w:t>
      </w:r>
      <w:r>
        <w:t>)</w:t>
      </w:r>
      <w:r>
        <w:t xml:space="preserve">, </w:t>
      </w:r>
      <w:r>
        <w:t>Leonardo Paris</w:t>
      </w:r>
      <w:r>
        <w:t xml:space="preserve"> (</w:t>
      </w:r>
      <w:r>
        <w:rPr>
          <w:color w:val="636363"/>
          <w:sz w:val="20"/>
          <w:szCs w:val="20"/>
        </w:rPr>
        <w:t>Sapienza, University of Rome</w:t>
      </w:r>
      <w:r>
        <w:t>)</w:t>
      </w:r>
      <w:r>
        <w:t xml:space="preserve">, </w:t>
      </w:r>
      <w:r>
        <w:t>Carla Nardinocchi</w:t>
      </w:r>
      <w:r>
        <w:t xml:space="preserve"> (</w:t>
      </w:r>
      <w:r>
        <w:rPr>
          <w:color w:val="636363"/>
          <w:sz w:val="20"/>
          <w:szCs w:val="20"/>
        </w:rPr>
        <w:t>DICEA, Sapienza University</w:t>
      </w:r>
      <w:r>
        <w:t>)</w:t>
      </w:r>
      <w:r>
        <w:t xml:space="preserve">. </w:t>
      </w:r>
    </w:p>
    <w:p>
      <w:pPr>
        <w:pStyle w:val="Text"/>
      </w:pPr>
      <w:r>
        <w:t>The acquisition of accurate three-dimensional spatial data is becoming increasingly important in engineering, architecture, and surveying application. Laser scanning technologies enable the generation of dense point clouds for detailed 3D modelling and spatial analysis. Among these technologies, Terrestrial Laser Scanning (TLS) provide high accuracy from static acquisition positions, whereas Mobile Laser Scanning (MLS) enables rapid data acquisition in dynamic environments. This study evaluates and compares two MLS systems, GeoSLAM ZEB Horizon and XGRIDS Lixel K1. While the GeoSLAM ZEB Horizon has been widely investigated for infrastructure and architectural documentation applications, the Lixel K1 represents a newer generation of handheld mobile mapping systems integrating panoramic cameras with the LiDAR and IMU sensor for enhanced visual and spatial data acquisition. Two different experimental tests were carried out. The first was conducted in a controlled environment documented by a single TLS scan, with the aim of assessing and comparing the accuracy and precision of the two MLS systems. The second test involved a field application at the Tempio di Venere within the Royal Palace of Caserta, to evaluate system performance in a complex real-world environment. The comparison aims to evaluate the potential of the two MLS systems in terms of data quality, geometric reliability, acquisition workflow, and suitability for cultural heritage documentation applications.</w:t>
      </w:r>
    </w:p>
    <w:p>
      <w:pPr>
        <w:pStyle w:val="SubStyleBorder"/>
      </w:pPr>
      <w:bookmarkStart w:id="96" w:name="abs95"/>
      <w:r>
        <w:fldChar w:fldCharType="begin"/>
      </w:r>
      <w:r>
        <w:instrText xml:space="preserve">REF Index \h</w:instrText>
      </w:r>
      <w:r>
        <w:fldChar w:fldCharType="separate"/>
      </w:r>
      <w:r>
        <w:rPr>
          <w:color w:val="0000ff"/>
          <w:sz w:val="20"/>
          <w:szCs w:val="20"/>
        </w:rPr>
        <w:t>[7032]</w:t>
      </w:r>
      <w:r>
        <w:fldChar w:fldCharType="end"/>
      </w:r>
      <w:bookmarkEnd w:id="96"/>
      <w:r>
        <w:t xml:space="preserve"> </w:t>
      </w:r>
      <w:r>
        <w:rPr>
          <w:i/>
          <w:b/>
        </w:rPr>
        <w:t>Integrating archaeology and archaeometry in the study of health and therapeutic practices: evidence from the medieval town of Cencelle (Viterbo, VT)</w:t>
      </w:r>
    </w:p>
    <w:p>
      <w:pPr>
        <w:pStyle w:val="Authors"/>
      </w:pPr>
      <w:r>
        <w:t>Giulia Cati</w:t>
      </w:r>
      <w:r>
        <w:t xml:space="preserve"> (</w:t>
      </w:r>
      <w:r>
        <w:rPr>
          <w:color w:val="636363"/>
          <w:sz w:val="20"/>
          <w:szCs w:val="20"/>
        </w:rPr>
        <w:t>Dipartimento di Scienze dell'Antichità, Sapienza University of Rome</w:t>
      </w:r>
      <w:r>
        <w:t>)</w:t>
      </w:r>
      <w:r>
        <w:t xml:space="preserve">, </w:t>
      </w:r>
      <w:r>
        <w:t>Andrea Carpentieri</w:t>
      </w:r>
      <w:r>
        <w:t xml:space="preserve"> (</w:t>
      </w:r>
      <w:r>
        <w:rPr>
          <w:color w:val="636363"/>
          <w:sz w:val="20"/>
          <w:szCs w:val="20"/>
        </w:rPr>
        <w:t>Dipartimento di Scienze Chimiche, University of Naples Federico II, Italy</w:t>
      </w:r>
      <w:r>
        <w:t>)</w:t>
      </w:r>
      <w:r>
        <w:t xml:space="preserve">, </w:t>
      </w:r>
      <w:r>
        <w:t>Marco Morelli</w:t>
      </w:r>
      <w:r>
        <w:t xml:space="preserve"> (</w:t>
      </w:r>
      <w:r>
        <w:rPr>
          <w:color w:val="636363"/>
          <w:sz w:val="20"/>
          <w:szCs w:val="20"/>
        </w:rPr>
        <w:t>Dipartimento di Scienze Chimiche, University of Naples Federico II, Italy</w:t>
      </w:r>
      <w:r>
        <w:t>)</w:t>
      </w:r>
      <w:r>
        <w:t xml:space="preserve">, </w:t>
      </w:r>
      <w:r>
        <w:t>Giorgia Annoscia</w:t>
      </w:r>
      <w:r>
        <w:t xml:space="preserve"> (</w:t>
      </w:r>
      <w:r>
        <w:rPr>
          <w:color w:val="636363"/>
          <w:sz w:val="20"/>
          <w:szCs w:val="20"/>
        </w:rPr>
        <w:t>Dipartimento di Scienze dell'Antichità, Sapienza University of Rome</w:t>
      </w:r>
      <w:r>
        <w:t>)</w:t>
      </w:r>
      <w:r>
        <w:t xml:space="preserve">. </w:t>
      </w:r>
    </w:p>
    <w:p>
      <w:pPr>
        <w:pStyle w:val="Text"/>
      </w:pPr>
      <w:r>
        <w:t>Understanding health and therapeutic practices in medieval societies requires the integration of multiple categories of evidence, as material traces related to medicine are often fragmentary and difficult to interpret. Among these, metallic implements represent one of the most problematic classes of artefacts, since their morphology alone rarely provides sufficient evidence for a reliable functional attribution.
This paper presents the preliminary results of an interdisciplinary investigation carried out at the medieval town of Cencelle (Viterbo, Italy), where archaeological, historical, bioarchaeological, iconographic, and archaeometric data are being integrated to explore the material evidence of healthcare. Particular attention is devoted to a metallic implement recovered from a late medieval domestic context, whose possible interpretation as a therapeutic instrument is assessed through morphological analysis, archaeological and iconographic comparisons, and a multi-analytical protocol including ICP-MS, GC-MS, and ongoing LC-MS/MS analyses.
Rather than seeking definitive proof of a medical function, the study proposes a methodological framework aimed at reducing the interpretative uncertainty surrounding multifunctional artefacts through the convergence of independent lines of evidence. The preliminary results highlight the potential of archaeometry to complement archaeological interpretation and demonstrate how interdisciplinary collaboration can provide new perspectives for investigating healthcare-related activities and therapeutic practices in medieval archaeological contexts.</w:t>
      </w:r>
    </w:p>
    <w:p>
      <w:pPr>
        <w:pStyle w:val="SubStyleBorder"/>
      </w:pPr>
      <w:bookmarkStart w:id="97" w:name="abs96"/>
      <w:r>
        <w:fldChar w:fldCharType="begin"/>
      </w:r>
      <w:r>
        <w:instrText xml:space="preserve">REF Index \h</w:instrText>
      </w:r>
      <w:r>
        <w:fldChar w:fldCharType="separate"/>
      </w:r>
      <w:r>
        <w:rPr>
          <w:color w:val="0000ff"/>
          <w:sz w:val="20"/>
          <w:szCs w:val="20"/>
        </w:rPr>
        <w:t>[7103]</w:t>
      </w:r>
      <w:r>
        <w:fldChar w:fldCharType="end"/>
      </w:r>
      <w:bookmarkEnd w:id="97"/>
      <w:r>
        <w:t xml:space="preserve"> </w:t>
      </w:r>
      <w:r>
        <w:rPr>
          <w:i/>
          <w:b/>
        </w:rPr>
        <w:t>Multi-modal 3D Digitization of an Egyptian Human Mummy from the National Museum of Transylvanian History</w:t>
      </w:r>
    </w:p>
    <w:p>
      <w:pPr>
        <w:pStyle w:val="Authors"/>
      </w:pPr>
      <w:r>
        <w:t>Radu Comes</w:t>
      </w:r>
      <w:r>
        <w:t xml:space="preserve"> (</w:t>
      </w:r>
      <w:r>
        <w:rPr>
          <w:color w:val="636363"/>
          <w:sz w:val="20"/>
          <w:szCs w:val="20"/>
        </w:rPr>
        <w:t>Technical University of Cluj-Napoca</w:t>
      </w:r>
      <w:r>
        <w:t>)</w:t>
      </w:r>
      <w:r>
        <w:t xml:space="preserve">, </w:t>
      </w:r>
      <w:r>
        <w:t>Calin Neamtu</w:t>
      </w:r>
      <w:r>
        <w:t xml:space="preserve"> (</w:t>
      </w:r>
      <w:r>
        <w:rPr>
          <w:color w:val="636363"/>
          <w:sz w:val="20"/>
          <w:szCs w:val="20"/>
        </w:rPr>
        <w:t>Technical University of Cluj-Napoca</w:t>
      </w:r>
      <w:r>
        <w:t>)</w:t>
      </w:r>
      <w:r>
        <w:t xml:space="preserve">, </w:t>
      </w:r>
      <w:r>
        <w:t>Marian Jac</w:t>
      </w:r>
      <w:r>
        <w:t xml:space="preserve"> (</w:t>
      </w:r>
      <w:r>
        <w:rPr>
          <w:color w:val="636363"/>
          <w:sz w:val="20"/>
          <w:szCs w:val="20"/>
        </w:rPr>
        <w:t>Technical University of Cluj-Napoca</w:t>
      </w:r>
      <w:r>
        <w:t>)</w:t>
      </w:r>
      <w:r>
        <w:t xml:space="preserve">, </w:t>
      </w:r>
      <w:r>
        <w:t>Fiona Tozlovanu</w:t>
      </w:r>
      <w:r>
        <w:t xml:space="preserve"> (</w:t>
      </w:r>
      <w:r>
        <w:rPr>
          <w:color w:val="636363"/>
          <w:sz w:val="20"/>
          <w:szCs w:val="20"/>
        </w:rPr>
        <w:t>Technical University of Cluj-Napoca</w:t>
      </w:r>
      <w:r>
        <w:t>)</w:t>
      </w:r>
      <w:r>
        <w:t xml:space="preserve">, </w:t>
      </w:r>
      <w:r>
        <w:t>Claudiu Andrei Muresan</w:t>
      </w:r>
      <w:r>
        <w:t xml:space="preserve"> (</w:t>
      </w:r>
      <w:r>
        <w:rPr>
          <w:color w:val="636363"/>
          <w:sz w:val="20"/>
          <w:szCs w:val="20"/>
        </w:rPr>
        <w:t>Technical University of Cluj-Napoca</w:t>
      </w:r>
      <w:r>
        <w:t>)</w:t>
      </w:r>
      <w:r>
        <w:t xml:space="preserve">, </w:t>
      </w:r>
      <w:r>
        <w:t>Eugenia Beu-Dachin</w:t>
      </w:r>
      <w:r>
        <w:t xml:space="preserve"> (</w:t>
      </w:r>
      <w:r>
        <w:rPr>
          <w:color w:val="636363"/>
          <w:sz w:val="20"/>
          <w:szCs w:val="20"/>
        </w:rPr>
        <w:t>National Museum of Transylvanian History</w:t>
      </w:r>
      <w:r>
        <w:t>)</w:t>
      </w:r>
      <w:r>
        <w:t xml:space="preserve">. </w:t>
      </w:r>
    </w:p>
    <w:p>
      <w:pPr>
        <w:pStyle w:val="Text"/>
      </w:pPr>
      <w:r>
        <w:t>This paper presents a non-invasive, multi-modal workflow for the three-dimensional digitization of an Egyptian human mummy preserved in the collections of the National Museum of Transylvanian History in Cluj-Napoca. The case study concerns a complex funerary ensemble consisting of a painted wooden coffin, a cartonnage mask, a painted linen shroud, and the mummified human remains. Because the object combines fragile external surfaces with anatomically significant internal structures, no single acquisition technique is sufficient for comprehensive documentation. The methodology employs structured-light scanning for external geometry, close-range photogrammetry for color and surface details, and computed tomography for internal anatomical structures. The resulting datasets were processed into complementary digital outputs adapted to different goals: accurate external models for documentation, segmented internal models for analysis and 3D printing, and an interactive virtual reality application for museum dissemination. The study shows that the combination of these techniques produces a coherent digital representation of a layered heritage object while preserving both metric reliability and visual fidelity. The proposed workflow demonstrates the value of multi-modal digitization not only for conservation-oriented recording, but also for interpretation, education, and public engagement in museum contexts.</w:t>
      </w:r>
    </w:p>
    <w:p>
      <w:pPr>
        <w:pStyle w:val="SubStyleBorder"/>
      </w:pPr>
      <w:bookmarkStart w:id="98" w:name="abs97"/>
      <w:r>
        <w:fldChar w:fldCharType="begin"/>
      </w:r>
      <w:r>
        <w:instrText xml:space="preserve">REF Index \h</w:instrText>
      </w:r>
      <w:r>
        <w:fldChar w:fldCharType="separate"/>
      </w:r>
      <w:r>
        <w:rPr>
          <w:color w:val="0000ff"/>
          <w:sz w:val="20"/>
          <w:szCs w:val="20"/>
        </w:rPr>
        <w:t>[7168]</w:t>
      </w:r>
      <w:r>
        <w:fldChar w:fldCharType="end"/>
      </w:r>
      <w:bookmarkEnd w:id="98"/>
      <w:r>
        <w:t xml:space="preserve"> </w:t>
      </w:r>
      <w:r>
        <w:rPr>
          <w:i/>
          <w:b/>
        </w:rPr>
        <w:t>Beyond Immersion: A Conversational Interaction Framework for Visitor Interpretive Engagement in XR Cultural Heritage Experiences</w:t>
      </w:r>
    </w:p>
    <w:p>
      <w:pPr>
        <w:pStyle w:val="Authors"/>
      </w:pPr>
      <w:r>
        <w:t>Bowen Guan</w:t>
      </w:r>
      <w:r>
        <w:t xml:space="preserve"> (</w:t>
      </w:r>
      <w:r>
        <w:rPr>
          <w:color w:val="636363"/>
          <w:sz w:val="20"/>
          <w:szCs w:val="20"/>
        </w:rPr>
        <w:t>Universidad Autónoma de Madrid</w:t>
      </w:r>
      <w:r>
        <w:t>)</w:t>
      </w:r>
      <w:r>
        <w:t xml:space="preserve">, </w:t>
      </w:r>
      <w:r>
        <w:t>Yilei Guo</w:t>
      </w:r>
      <w:r>
        <w:t xml:space="preserve"> (</w:t>
      </w:r>
      <w:r>
        <w:rPr>
          <w:color w:val="636363"/>
          <w:sz w:val="20"/>
          <w:szCs w:val="20"/>
        </w:rPr>
        <w:t>Sapienza University of Rome</w:t>
      </w:r>
      <w:r>
        <w:t>)</w:t>
      </w:r>
      <w:r>
        <w:t xml:space="preserve">. </w:t>
      </w:r>
    </w:p>
    <w:p>
      <w:pPr>
        <w:pStyle w:val="Text"/>
      </w:pPr>
      <w:r>
        <w:t>This research examines a specific problem in Extended Reality (XR) cultural heritage experiences: interaction often remains limited to functional operations, while providing insufficient support for interpretive engagement. To address this problem, the study proposes a conversational interaction framework for XR cultural heritage interpretation. Drawing on Tilden's theory of heritage interpretation and Pask's Conversation Theory, the framework repositions visitor interpretive input as part of the meaning-making process. It connects system prompts, adaptive feedback, visitor inquiry, interpretive processing, revised understanding, and shared meaning-making into a design structure for supporting interpretive agency. The framework offers a design logic and evaluation reference for developing XR heritage experiences that move beyond functional operation toward more active, reflective, and participatory interpretation.</w:t>
      </w:r>
    </w:p>
    <w:p>
      <w:pPr>
        <w:pStyle w:val="SubStyleBorder"/>
      </w:pPr>
      <w:bookmarkStart w:id="99" w:name="abs98"/>
      <w:r>
        <w:fldChar w:fldCharType="begin"/>
      </w:r>
      <w:r>
        <w:instrText xml:space="preserve">REF Index \h</w:instrText>
      </w:r>
      <w:r>
        <w:fldChar w:fldCharType="separate"/>
      </w:r>
      <w:r>
        <w:rPr>
          <w:color w:val="0000ff"/>
          <w:sz w:val="20"/>
          <w:szCs w:val="20"/>
        </w:rPr>
        <w:t>[7268]</w:t>
      </w:r>
      <w:r>
        <w:fldChar w:fldCharType="end"/>
      </w:r>
      <w:bookmarkEnd w:id="99"/>
      <w:r>
        <w:t xml:space="preserve"> </w:t>
      </w:r>
      <w:r>
        <w:rPr>
          <w:i/>
          <w:b/>
        </w:rPr>
        <w:t>Multi-method archaeological prospection in the centre of Teotihuacan (Mexico)</w:t>
      </w:r>
    </w:p>
    <w:p>
      <w:pPr>
        <w:pStyle w:val="Authors"/>
      </w:pPr>
      <w:r>
        <w:t>Alessandra Pecci</w:t>
      </w:r>
      <w:r>
        <w:t xml:space="preserve"> (</w:t>
      </w:r>
      <w:r>
        <w:rPr>
          <w:color w:val="636363"/>
          <w:sz w:val="20"/>
          <w:szCs w:val="20"/>
        </w:rPr>
        <w:t>ERAAUB/IAUB/INSAUB, University of Barcelona</w:t>
      </w:r>
      <w:r>
        <w:t>)</w:t>
      </w:r>
      <w:r>
        <w:t xml:space="preserve">, </w:t>
      </w:r>
      <w:r>
        <w:t>Luis Barba</w:t>
      </w:r>
      <w:r>
        <w:t xml:space="preserve"> (</w:t>
      </w:r>
      <w:r>
        <w:rPr>
          <w:color w:val="636363"/>
          <w:sz w:val="20"/>
          <w:szCs w:val="20"/>
        </w:rPr>
        <w:t>Universidad Nacional Autonoma de Mexico</w:t>
      </w:r>
      <w:r>
        <w:t>)</w:t>
      </w:r>
      <w:r>
        <w:t xml:space="preserve">, </w:t>
      </w:r>
      <w:r>
        <w:t>Agustin Ortiz</w:t>
      </w:r>
      <w:r>
        <w:t xml:space="preserve"> (</w:t>
      </w:r>
      <w:r>
        <w:rPr>
          <w:color w:val="636363"/>
          <w:sz w:val="20"/>
          <w:szCs w:val="20"/>
        </w:rPr>
        <w:t>Universidad Nacional Autonoma de Mexico</w:t>
      </w:r>
      <w:r>
        <w:t>)</w:t>
      </w:r>
      <w:r>
        <w:t xml:space="preserve">, </w:t>
      </w:r>
      <w:r>
        <w:t>Jorge Blancas</w:t>
      </w:r>
      <w:r>
        <w:t xml:space="preserve"> (</w:t>
      </w:r>
      <w:r>
        <w:rPr>
          <w:color w:val="636363"/>
          <w:sz w:val="20"/>
          <w:szCs w:val="20"/>
        </w:rPr>
        <w:t>Universidad Nacional Autonoma de Mexico</w:t>
      </w:r>
      <w:r>
        <w:t>)</w:t>
      </w:r>
      <w:r>
        <w:t xml:space="preserve">, </w:t>
      </w:r>
      <w:r>
        <w:t>Domenico Miriello</w:t>
      </w:r>
      <w:r>
        <w:t xml:space="preserve"> (</w:t>
      </w:r>
      <w:r>
        <w:rPr>
          <w:color w:val="636363"/>
          <w:sz w:val="20"/>
          <w:szCs w:val="20"/>
        </w:rPr>
        <w:t>Università della Calabria</w:t>
      </w:r>
      <w:r>
        <w:t>)</w:t>
      </w:r>
      <w:r>
        <w:t xml:space="preserve">, </w:t>
      </w:r>
      <w:r>
        <w:t>Genea Girimonte</w:t>
      </w:r>
      <w:r>
        <w:t xml:space="preserve"> (</w:t>
      </w:r>
      <w:r>
        <w:rPr>
          <w:color w:val="636363"/>
          <w:sz w:val="20"/>
          <w:szCs w:val="20"/>
        </w:rPr>
        <w:t>ERAAUB/IAUB/INSA-UB, Universitat de Barcelona</w:t>
      </w:r>
      <w:r>
        <w:t>)</w:t>
      </w:r>
      <w:r>
        <w:t xml:space="preserve">, </w:t>
      </w:r>
      <w:r>
        <w:t>Natalia Moragas</w:t>
      </w:r>
      <w:r>
        <w:t xml:space="preserve"> (</w:t>
      </w:r>
      <w:r>
        <w:rPr>
          <w:color w:val="636363"/>
          <w:sz w:val="20"/>
          <w:szCs w:val="20"/>
        </w:rPr>
        <w:t>ERAAUB/IAUB, Universitat de Barcelona</w:t>
      </w:r>
      <w:r>
        <w:t>)</w:t>
      </w:r>
      <w:r>
        <w:t xml:space="preserve">. </w:t>
      </w:r>
    </w:p>
    <w:p>
      <w:pPr>
        <w:pStyle w:val="Text"/>
      </w:pPr>
      <w:r>
        <w:t>— This paper presents the results of an interdisciplinary, non-invasive prospection of an area located in the centre of Teotihuacan (Mexico), one of the largest cities of ancient Mesoamerica. Since 2017 a joint project of the UNAM and the University of Barcelona has investigated sector N2E1, between the San Juan River, the Pyramid of the Sun and the Street of the Dead, by integrating complementary measurement techniques: drone aerial photography and digital elevation modelling, magnetic gradiometry, electrical resistivity, ground-penetrating radar. During the last campaigns we also incorporated the gridded recording of surface materials. Buried walls and floors were detected and their depth estimated, revealing a change in the building pattern through time. Plastered floors were preliminary characterised onsite to better understand building materials.</w:t>
      </w:r>
    </w:p>
    <w:p>
      <w:pPr>
        <w:pStyle w:val="SubStyleBorder"/>
      </w:pPr>
      <w:bookmarkStart w:id="100" w:name="abs99"/>
      <w:r>
        <w:fldChar w:fldCharType="begin"/>
      </w:r>
      <w:r>
        <w:instrText xml:space="preserve">REF Index \h</w:instrText>
      </w:r>
      <w:r>
        <w:fldChar w:fldCharType="separate"/>
      </w:r>
      <w:r>
        <w:rPr>
          <w:color w:val="0000ff"/>
          <w:sz w:val="20"/>
          <w:szCs w:val="20"/>
        </w:rPr>
        <w:t>[7315]</w:t>
      </w:r>
      <w:r>
        <w:fldChar w:fldCharType="end"/>
      </w:r>
      <w:bookmarkEnd w:id="100"/>
      <w:r>
        <w:t xml:space="preserve"> </w:t>
      </w:r>
      <w:r>
        <w:rPr>
          <w:i/>
          <w:b/>
        </w:rPr>
        <w:t>The Cathedral of SS Annunziata in Castro (Lecce, Southern Italy): geophysical survey for structural diagnosis</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Within the project restoration regarding the static improvement of the northern façade of the S.S. Annunziata Cathedral in Castro (Lecce), integrated geological and geophysical investigations were undertaken. The aims of the survey were to define the model of the local geological stratigraphy and to evaluate the geotechnical characteristics of the ground hosting the foundation of Cathedral.   
Geophysical survey was performed used Ground Penetrating Radar integrated with seismic refraction tomography. Moreover both a direct investigation using continuous core boring and a hand excavation were performed in correspondence of the building foundations.  
The obtained results have allowed determining the typology of foundation and its depth with respect the living surface. In addition, the model of the local geo-stratigraphy was reconstructed, as well as, the geo-mechanical parameters of the litho-types conditioning the foundations structures were determined. Doubts remain on the direct correlation with to crack pattern observed on the Northern façade of the Cathedral.</w:t>
      </w:r>
    </w:p>
    <w:p>
      <w:pPr>
        <w:pStyle w:val="SubStyleBorder"/>
      </w:pPr>
      <w:bookmarkStart w:id="101" w:name="abs100"/>
      <w:r>
        <w:fldChar w:fldCharType="begin"/>
      </w:r>
      <w:r>
        <w:instrText xml:space="preserve">REF Index \h</w:instrText>
      </w:r>
      <w:r>
        <w:fldChar w:fldCharType="separate"/>
      </w:r>
      <w:r>
        <w:rPr>
          <w:color w:val="0000ff"/>
          <w:sz w:val="20"/>
          <w:szCs w:val="20"/>
        </w:rPr>
        <w:t>[7546]</w:t>
      </w:r>
      <w:r>
        <w:fldChar w:fldCharType="end"/>
      </w:r>
      <w:bookmarkEnd w:id="101"/>
      <w:r>
        <w:t xml:space="preserve"> </w:t>
      </w:r>
      <w:r>
        <w:rPr>
          <w:i/>
          <w:b/>
        </w:rPr>
        <w:t>Metrological mapping of spatial acoustic fingerprints in historical spaces through controlled audio measurements</w:t>
      </w:r>
    </w:p>
    <w:p>
      <w:pPr>
        <w:pStyle w:val="Authors"/>
      </w:pPr>
      <w:r>
        <w:t>Marco Casazza</w:t>
      </w:r>
      <w:r>
        <w:t xml:space="preserve"> (</w:t>
      </w:r>
      <w:r>
        <w:rPr>
          <w:color w:val="636363"/>
          <w:sz w:val="20"/>
          <w:szCs w:val="20"/>
        </w:rPr>
        <w:t>Università degli Studi di Salerno</w:t>
      </w:r>
      <w:r>
        <w:t>)</w:t>
      </w:r>
      <w:r>
        <w:t xml:space="preserve">, </w:t>
      </w:r>
      <w:r>
        <w:t>Fabrizio Barone</w:t>
      </w:r>
      <w:r>
        <w:t xml:space="preserve"> (</w:t>
      </w:r>
      <w:r>
        <w:rPr>
          <w:color w:val="636363"/>
          <w:sz w:val="20"/>
          <w:szCs w:val="20"/>
        </w:rPr>
        <w:t>University of Salerno</w:t>
      </w:r>
      <w:r>
        <w:t>)</w:t>
      </w:r>
      <w:r>
        <w:t xml:space="preserve">. </w:t>
      </w:r>
    </w:p>
    <w:p>
      <w:pPr>
        <w:pStyle w:val="Text"/>
      </w:pPr>
      <w:r>
        <w:t>This study proposes and experimentally validates a metrological framework for representing measurable components of the sensory identity of historical spaces through spatial acoustic fingerprints. The analysis reprocesses controlled swept-sine recordings acquired during a previously documented field campaign at the medieval Sanctuary of San Michele di Mezzo (Fisciano, Southern Italy), considering measurement positions located in the later church, the lower cave, and the upper cave. Spectral, temporal, and impulse-response-derived descriptors are combined into multidimensional fingerprints. Repeatability is assessed within measurement points, whereas standardized fingerprint distances, principal component analysis, and grouped leave-one-point-out classification are used to evaluate spatial and environment-level differentiation. Median fingerprint distance increased from 2.992 within the same point to 4.972 between different points of the same environment and 11.099 between the church and the upper cave. The first principal component explained 60.8% of the variance, while environment classification reached 100% balanced accuracy (exact permutation p=0.00476). The results suggest that repeatable acoustic properties can act as quantitative markers of spatially differentiated sensory identity, without reducing the broader identity or genius loci of a heritage place to acoustic measurements alone.</w:t>
      </w:r>
    </w:p>
    <w:p>
      <w:pPr>
        <w:pStyle w:val="SubStyleBorder"/>
      </w:pPr>
      <w:bookmarkStart w:id="102" w:name="abs101"/>
      <w:r>
        <w:fldChar w:fldCharType="begin"/>
      </w:r>
      <w:r>
        <w:instrText xml:space="preserve">REF Index \h</w:instrText>
      </w:r>
      <w:r>
        <w:fldChar w:fldCharType="separate"/>
      </w:r>
      <w:r>
        <w:rPr>
          <w:color w:val="0000ff"/>
          <w:sz w:val="20"/>
          <w:szCs w:val="20"/>
        </w:rPr>
        <w:t>[7641]</w:t>
      </w:r>
      <w:r>
        <w:fldChar w:fldCharType="end"/>
      </w:r>
      <w:bookmarkEnd w:id="102"/>
      <w:r>
        <w:t xml:space="preserve"> </w:t>
      </w:r>
      <w:r>
        <w:rPr>
          <w:i/>
          <w:b/>
        </w:rPr>
        <w:t>Smartphone-Based 3D Gaussian Splatting of a Monumental Royal Interior: A Frame-Density Study at Palazzo Reale di Torino</w:t>
      </w:r>
    </w:p>
    <w:p>
      <w:pPr>
        <w:pStyle w:val="Authors"/>
      </w:pPr>
      <w:r>
        <w:t>Simone Pio Barbagallo</w:t>
      </w:r>
      <w:r>
        <w:t xml:space="preserve"> (</w:t>
      </w:r>
      <w:r>
        <w:rPr>
          <w:color w:val="636363"/>
          <w:sz w:val="20"/>
          <w:szCs w:val="20"/>
        </w:rPr>
        <w:t>University of Catania</w:t>
      </w:r>
      <w:r>
        <w:t>)</w:t>
      </w:r>
      <w:r>
        <w:t xml:space="preserve">, </w:t>
      </w:r>
      <w:r>
        <w:t>Alice Cutullè</w:t>
      </w:r>
      <w:r>
        <w:t xml:space="preserve"> (</w:t>
      </w:r>
      <w:r>
        <w:rPr>
          <w:color w:val="636363"/>
          <w:sz w:val="20"/>
          <w:szCs w:val="20"/>
        </w:rPr>
        <w:t>University of Turin</w:t>
      </w:r>
      <w:r>
        <w:t>)</w:t>
      </w:r>
      <w:r>
        <w:t xml:space="preserve">, </w:t>
      </w:r>
      <w:r>
        <w:t>Dario Allegra</w:t>
      </w:r>
      <w:r>
        <w:t xml:space="preserve"> (</w:t>
      </w:r>
      <w:r>
        <w:rPr>
          <w:color w:val="636363"/>
          <w:sz w:val="20"/>
          <w:szCs w:val="20"/>
        </w:rPr>
        <w:t>University of Catania - Department of Mathematics and Computer Science</w:t>
      </w:r>
      <w:r>
        <w:t>)</w:t>
      </w:r>
      <w:r>
        <w:t xml:space="preserve">, </w:t>
      </w:r>
      <w:r>
        <w:t>Anna Maria Gueli</w:t>
      </w:r>
      <w:r>
        <w:t xml:space="preserve"> (</w:t>
      </w:r>
      <w:r>
        <w:rPr>
          <w:color w:val="636363"/>
          <w:sz w:val="20"/>
          <w:szCs w:val="20"/>
        </w:rPr>
        <w:t>University of Catania</w:t>
      </w:r>
      <w:r>
        <w:t>)</w:t>
      </w:r>
      <w:r>
        <w:t xml:space="preserve">, </w:t>
      </w:r>
      <w:r>
        <w:t>Filippo Stanco</w:t>
      </w:r>
      <w:r>
        <w:t xml:space="preserve"> (</w:t>
      </w:r>
      <w:r>
        <w:rPr>
          <w:color w:val="636363"/>
          <w:sz w:val="20"/>
          <w:szCs w:val="20"/>
        </w:rPr>
        <w:t>University of Catania</w:t>
      </w:r>
      <w:r>
        <w:t>)</w:t>
      </w:r>
      <w:r>
        <w:t xml:space="preserve">. </w:t>
      </w:r>
    </w:p>
    <w:p>
      <w:pPr>
        <w:pStyle w:val="Text"/>
      </w:pPr>
      <w:r>
        <w:t>High-quality 3D documentation of monumental heritage interiors typically requires expensive professional equipment. This paper proposes a budget-accessible pipeline based on 3D Gaussian Splatting (3DGS) that relies solely on a consumer smartphone and off-the-shelf laptop GPUs, demonstrated on the Appartamento del Re at the Palazzo Reale di Torino, a UNESCO World Heritage property.</w:t>
      </w:r>
    </w:p>
    <w:p>
      <w:pPr>
        <w:pStyle w:val="Text"/>
      </w:pPr>
      <w:r>
        <w:t>A single continuous walkthrough video of approximately 15 minutes was recorded and processed through eight uniformly sampled frame subsets (n ranging from 450 to 3,000) to systematically investigate the trade-off between input density and reconstruction quality within realistic computational constraints.</w:t>
      </w:r>
    </w:p>
    <w:p>
      <w:pPr>
        <w:pStyle w:val="Text"/>
      </w:pPr>
      <w:r>
        <w:t>Results reveal a monotonic quality gradient: n ≥ 900 frames are required for a connected pose graph, while n ≥ 1,800 yields high-fidelity surface reproduction. Visual comparison against a Matterport Pro3 reference floor plan identifies n = 2,100 as the configuration with the closest geometric correspondence to the ground-truth planimetry.</w:t>
      </w:r>
    </w:p>
    <w:p>
      <w:pPr>
        <w:pStyle w:val="Text"/>
      </w:pPr>
      <w:r>
        <w:t>All subsets converge near the 3 M Gaussian primitive cap, confirming that reconstruction quality is driven by camera-pose graph accuracy rather than primitive count. A stochastic failure mode (topological disconnection of entire rooms from the pose graph) was identified as the principal reliability challenge, independent of frame density. VR deployment in Unreal Engine 5 is ongoing.</w:t>
      </w:r>
    </w:p>
    <w:p>
      <w:pPr>
        <w:pStyle w:val="SubStyleBorder"/>
      </w:pPr>
      <w:bookmarkStart w:id="103" w:name="abs102"/>
      <w:r>
        <w:fldChar w:fldCharType="begin"/>
      </w:r>
      <w:r>
        <w:instrText xml:space="preserve">REF Index \h</w:instrText>
      </w:r>
      <w:r>
        <w:fldChar w:fldCharType="separate"/>
      </w:r>
      <w:r>
        <w:rPr>
          <w:color w:val="0000ff"/>
          <w:sz w:val="20"/>
          <w:szCs w:val="20"/>
        </w:rPr>
        <w:t>[7666]</w:t>
      </w:r>
      <w:r>
        <w:fldChar w:fldCharType="end"/>
      </w:r>
      <w:bookmarkEnd w:id="103"/>
      <w:r>
        <w:t xml:space="preserve"> </w:t>
      </w:r>
      <w:r>
        <w:rPr>
          <w:i/>
          <w:b/>
        </w:rPr>
        <w:t>Exploring Thermal Quasi-Reflectography (TQR) capabilities on paintings: a preliminary guide for data interpretation on target models</w:t>
      </w:r>
    </w:p>
    <w:p>
      <w:pPr>
        <w:pStyle w:val="Authors"/>
      </w:pPr>
      <w:r>
        <w:t>Nicole de Manincor</w:t>
      </w:r>
      <w:r>
        <w:t xml:space="preserve"> (</w:t>
      </w:r>
      <w:r>
        <w:rPr>
          <w:color w:val="636363"/>
          <w:sz w:val="20"/>
          <w:szCs w:val="20"/>
        </w:rPr>
        <w:t>Università di Verona</w:t>
      </w:r>
      <w:r>
        <w:t>)</w:t>
      </w:r>
      <w:r>
        <w:t xml:space="preserve">, </w:t>
      </w:r>
      <w:r>
        <w:t>Dumitru Scutelnic</w:t>
      </w:r>
      <w:r>
        <w:t xml:space="preserve"> (</w:t>
      </w:r>
      <w:r>
        <w:rPr>
          <w:color w:val="636363"/>
          <w:sz w:val="20"/>
          <w:szCs w:val="20"/>
        </w:rPr>
        <w:t>University of Verona</w:t>
      </w:r>
      <w:r>
        <w:t>)</w:t>
      </w:r>
      <w:r>
        <w:t xml:space="preserve">, </w:t>
      </w:r>
      <w:r>
        <w:t>Claudia Daffara</w:t>
      </w:r>
      <w:r>
        <w:t xml:space="preserve"> (</w:t>
      </w:r>
      <w:r>
        <w:rPr>
          <w:color w:val="636363"/>
          <w:sz w:val="20"/>
          <w:szCs w:val="20"/>
        </w:rPr>
        <w:t>University of Verona</w:t>
      </w:r>
      <w:r>
        <w:t>)</w:t>
      </w:r>
      <w:r>
        <w:t xml:space="preserve">. </w:t>
      </w:r>
    </w:p>
    <w:p>
      <w:pPr>
        <w:pStyle w:val="Text"/>
      </w:pPr>
      <w:r>
        <w:t>The stratigraphic complexity and heterogeneity of paintings are important factors to consider when imaging analyses are performed in different infrared bands. This study investigates the capabilities of Thermal Quasi-Reflectography (TQR) for the examination of paintings and proposes a framework for interpreting the MWIR response of pictorial layers. Two mock-ups reproducing characterised paint stratigraphies based on historical techniques were investigated by TQR and compared with NIR-SWIR reflectography. The results demonstrate that variations in the thickness and density of the preparatory ground significantly affect reflectivity and the detectability of concealed features in MWIR imaging, while having a limited influence on SWIR reflectography. Underdrawings and pentimenti can also be detected by TQR, although with a different response than NIR imaging and lower penetration depth than SWIR reflectography. The study highlights the complementarity of NIR, SWIR, and MWIR imaging techniques and supports the integration of TQR within a multi-technique diagnostic protocol for paintings.</w:t>
      </w:r>
    </w:p>
    <w:p>
      <w:pPr>
        <w:pStyle w:val="SubStyleBorder"/>
      </w:pPr>
      <w:bookmarkStart w:id="104" w:name="abs103"/>
      <w:r>
        <w:fldChar w:fldCharType="begin"/>
      </w:r>
      <w:r>
        <w:instrText xml:space="preserve">REF Index \h</w:instrText>
      </w:r>
      <w:r>
        <w:fldChar w:fldCharType="separate"/>
      </w:r>
      <w:r>
        <w:rPr>
          <w:color w:val="0000ff"/>
          <w:sz w:val="20"/>
          <w:szCs w:val="20"/>
        </w:rPr>
        <w:t>[7765]</w:t>
      </w:r>
      <w:r>
        <w:fldChar w:fldCharType="end"/>
      </w:r>
      <w:bookmarkEnd w:id="104"/>
      <w:r>
        <w:t xml:space="preserve"> </w:t>
      </w:r>
      <w:r>
        <w:rPr>
          <w:i/>
          <w:b/>
        </w:rPr>
        <w:t>Vibroacoustic analysis of the temple of Neptune in Paestum, Italy: an example of coupled structure-ground system in ancient Greek Architecture</w:t>
      </w:r>
    </w:p>
    <w:p>
      <w:pPr>
        <w:pStyle w:val="Authors"/>
      </w:pPr>
      <w:r>
        <w:t>Fabrizio Barone</w:t>
      </w:r>
      <w:r>
        <w:t xml:space="preserve"> (</w:t>
      </w:r>
      <w:r>
        <w:rPr>
          <w:color w:val="636363"/>
          <w:sz w:val="20"/>
          <w:szCs w:val="20"/>
        </w:rPr>
        <w:t>University of Salerno</w:t>
      </w:r>
      <w:r>
        <w:t>)</w:t>
      </w:r>
      <w:r>
        <w:t xml:space="preserve">, </w:t>
      </w:r>
      <w:r>
        <w:t>Marco Casazza</w:t>
      </w:r>
      <w:r>
        <w:t xml:space="preserve"> (</w:t>
      </w:r>
      <w:r>
        <w:rPr>
          <w:color w:val="636363"/>
          <w:sz w:val="20"/>
          <w:szCs w:val="20"/>
        </w:rPr>
        <w:t>Università degli Studi di Salerno</w:t>
      </w:r>
      <w:r>
        <w:t>)</w:t>
      </w:r>
      <w:r>
        <w:t xml:space="preserve">, </w:t>
      </w:r>
      <w:r>
        <w:t>Armando Di Maio</w:t>
      </w:r>
      <w:r>
        <w:t xml:space="preserve"> (</w:t>
      </w:r>
      <w:r>
        <w:rPr>
          <w:color w:val="636363"/>
          <w:sz w:val="20"/>
          <w:szCs w:val="20"/>
        </w:rPr>
        <w:t>Studio di Architettura Di Maio, Napoli, Italy</w:t>
      </w:r>
      <w:r>
        <w:t>)</w:t>
      </w:r>
      <w:r>
        <w:t xml:space="preserve">. </w:t>
      </w:r>
    </w:p>
    <w:p>
      <w:pPr>
        <w:pStyle w:val="Text"/>
      </w:pPr>
      <w:r>
        <w:t>This study proposes a hypothesis-driven mechanical interpretation of the Temple of Neptune at Paestum as a coupled monument-ground system. The travertine substratum, thin sandy levelling layer, massive foundation platform, surrounding fill, and dry-jointed multi-drum Doric columns are treated as interacting components of the static and dynamic response. A first-order base-excited model describes frequency dependent ground-to-foundation transmission; the previously proposed 10-40% attenuation is retained only as an experimental sensitivity range, not as site-specific seismic-isolation performance. A naval-inspired analogy compares the foundation’s distributed stress transfer with the distributed support of a floating body, while excluding hydrostatic buoyancy and fluid soil behaviour. At superstructure level, friction, impact, sliding, and rocking at drum interfaces may dissipate energy and broaden modal response, although local amplification may occur. Ground-to-foundation and foundation-tocapital transfer functions are proposed as validation targets for existing monitoring. The study is therefore a preliminary, testable framework rather than a calibrated predictive model.</w:t>
      </w:r>
    </w:p>
    <w:p>
      <w:pPr>
        <w:pStyle w:val="SubStyleBorder"/>
      </w:pPr>
      <w:bookmarkStart w:id="105" w:name="abs104"/>
      <w:r>
        <w:fldChar w:fldCharType="begin"/>
      </w:r>
      <w:r>
        <w:instrText xml:space="preserve">REF Index \h</w:instrText>
      </w:r>
      <w:r>
        <w:fldChar w:fldCharType="separate"/>
      </w:r>
      <w:r>
        <w:rPr>
          <w:color w:val="0000ff"/>
          <w:sz w:val="20"/>
          <w:szCs w:val="20"/>
        </w:rPr>
        <w:t>[7879]</w:t>
      </w:r>
      <w:r>
        <w:fldChar w:fldCharType="end"/>
      </w:r>
      <w:bookmarkEnd w:id="105"/>
      <w:r>
        <w:t xml:space="preserve"> </w:t>
      </w:r>
      <w:r>
        <w:rPr>
          <w:i/>
          <w:b/>
        </w:rPr>
        <w:t>Low-Cost LED Spectrometer in Cultural Heritage Colorimetry</w:t>
      </w:r>
    </w:p>
    <w:p>
      <w:pPr>
        <w:pStyle w:val="Authors"/>
      </w:pPr>
      <w:r>
        <w:t>Federico Fina</w:t>
      </w:r>
      <w:r>
        <w:t xml:space="preserve"> (</w:t>
      </w:r>
      <w:r>
        <w:rPr>
          <w:color w:val="636363"/>
          <w:sz w:val="20"/>
          <w:szCs w:val="20"/>
        </w:rPr>
        <w:t>Dipartimento di Scienze - Università degli Studi Roma Tre</w:t>
      </w:r>
      <w:r>
        <w:t>)</w:t>
      </w:r>
      <w:r>
        <w:t xml:space="preserve">, </w:t>
      </w:r>
      <w:r>
        <w:t>Paolo Bruschi</w:t>
      </w:r>
      <w:r>
        <w:t xml:space="preserve"> (</w:t>
      </w:r>
      <w:r>
        <w:rPr>
          <w:color w:val="636363"/>
          <w:sz w:val="20"/>
          <w:szCs w:val="20"/>
        </w:rPr>
        <w:t>Università di Pisa</w:t>
      </w:r>
      <w:r>
        <w:t>)</w:t>
      </w:r>
      <w:r>
        <w:t xml:space="preserve">, </w:t>
      </w:r>
      <w:r>
        <w:t>Simone Contardi</w:t>
      </w:r>
      <w:r>
        <w:t xml:space="preserve"> (</w:t>
      </w:r>
      <w:r>
        <w:rPr>
          <w:color w:val="636363"/>
          <w:sz w:val="20"/>
          <w:szCs w:val="20"/>
        </w:rPr>
        <w:t>Sensichips s.r.l.</w:t>
      </w:r>
      <w:r>
        <w:t>)</w:t>
      </w:r>
      <w:r>
        <w:t xml:space="preserve">, </w:t>
      </w:r>
      <w:r>
        <w:t>Fabio Leccese</w:t>
      </w:r>
      <w:r>
        <w:t xml:space="preserve"> (</w:t>
      </w:r>
      <w:r>
        <w:rPr>
          <w:color w:val="636363"/>
          <w:sz w:val="20"/>
          <w:szCs w:val="20"/>
        </w:rPr>
        <w:t>Università degli Studi Roma Tre</w:t>
      </w:r>
      <w:r>
        <w:t>)</w:t>
      </w:r>
      <w:r>
        <w:t xml:space="preserve">. </w:t>
      </w:r>
    </w:p>
    <w:p>
      <w:pPr>
        <w:pStyle w:val="Text"/>
      </w:pPr>
      <w:r>
        <w:t>The following article proposes the use of a digital multispectral LED sensor equipped with 6 LEDs for colorimetric analysis of surfaces of artistic interest. The goal is to create a robust and effective neural network structured by combining PCA with an MLP model that allows the color of a colored surface to be associated with a Pantone class. The network was trained on a sample of 100 Pantone postcards and, after being validated on them, tests were performed on sample of granite rock that can be also applied in architecture for the construction of churches and basilicas.</w:t>
      </w:r>
    </w:p>
    <w:p>
      <w:pPr>
        <w:pStyle w:val="SubStyleBorder"/>
      </w:pPr>
      <w:bookmarkStart w:id="106" w:name="abs105"/>
      <w:r>
        <w:fldChar w:fldCharType="begin"/>
      </w:r>
      <w:r>
        <w:instrText xml:space="preserve">REF Index \h</w:instrText>
      </w:r>
      <w:r>
        <w:fldChar w:fldCharType="separate"/>
      </w:r>
      <w:r>
        <w:rPr>
          <w:color w:val="0000ff"/>
          <w:sz w:val="20"/>
          <w:szCs w:val="20"/>
        </w:rPr>
        <w:t>[8241]</w:t>
      </w:r>
      <w:r>
        <w:fldChar w:fldCharType="end"/>
      </w:r>
      <w:bookmarkEnd w:id="106"/>
      <w:r>
        <w:t xml:space="preserve"> </w:t>
      </w:r>
      <w:r>
        <w:rPr>
          <w:i/>
          <w:b/>
        </w:rPr>
        <w:t>NLP for Cultural Heritage: from Rule-Based Approaches to LLMs and Computer-Vision</w:t>
      </w:r>
    </w:p>
    <w:p>
      <w:pPr>
        <w:pStyle w:val="Authors"/>
      </w:pPr>
      <w:r>
        <w:t>Stefano Silvestri</w:t>
      </w:r>
      <w:r>
        <w:t xml:space="preserve"> (</w:t>
      </w:r>
      <w:r>
        <w:rPr>
          <w:color w:val="636363"/>
          <w:sz w:val="20"/>
          <w:szCs w:val="20"/>
        </w:rPr>
        <w:t>Institute for High Performance Computing and Networking, National Research Council of Italy (ICAR-CNR), Naples, Italy</w:t>
      </w:r>
      <w:r>
        <w:t>)</w:t>
      </w:r>
      <w:r>
        <w:t xml:space="preserve">, </w:t>
      </w:r>
      <w:r>
        <w:t>Ludovica Fiorentino</w:t>
      </w:r>
      <w:r>
        <w:t xml:space="preserve"> (</w:t>
      </w:r>
      <w:r>
        <w:rPr>
          <w:color w:val="636363"/>
          <w:sz w:val="20"/>
          <w:szCs w:val="20"/>
        </w:rPr>
        <w:t>University of Naples Federico II</w:t>
      </w:r>
      <w:r>
        <w:t>)</w:t>
      </w:r>
      <w:r>
        <w:t xml:space="preserve">, </w:t>
      </w:r>
      <w:r>
        <w:t>Raffaele Guarasci</w:t>
      </w:r>
      <w:r>
        <w:t xml:space="preserve"> (</w:t>
      </w:r>
      <w:r>
        <w:rPr>
          <w:color w:val="636363"/>
          <w:sz w:val="20"/>
          <w:szCs w:val="20"/>
        </w:rPr>
        <w:t>Pegaso University</w:t>
      </w:r>
      <w:r>
        <w:t>)</w:t>
      </w:r>
      <w:r>
        <w:t xml:space="preserve">. </w:t>
      </w:r>
    </w:p>
    <w:p>
      <w:pPr>
        <w:pStyle w:val="Text"/>
      </w:pPr>
      <w:r>
        <w:t>The digitization of archives, museum collections, archaeological reports and online cultural content has transformed Cultural Heritage (CH) into a text-rich domain in which Natural Language Processing (NLP) plays a central role for measurement, indexing and dissemination. This contribution offers a structured survey of NLP approaches applied to CH, organized along four methodological waves: (i) symbolic rule-based and Lexicon-Grammar systems; (ii) statistical and classical machine learning; (iii) neural language models and Transformer-based architectures; (iv) Large Language Models (LLMs) and Vision-Language Models (VLMs). For each wave we describe representative CH tasks — including Named Entity Recognition on historical documents, Optical/Handwritten Text Recognition, diachronic Machine Translation, sentiment and authenticity analysis of reviews, knowledge-graph construction over CIDOC-CRM, multimodal question answering on museum exhibits, and image-text retrieval over paintings — and review benchmark datasets and evaluation protocols. We then compare the four waves under a metrological lens, considering accuracy, reproducibility, interpretability, resource requirements and exposure to hallucination and cultural bias. The survey concludes with open challenges concerning low-resource and historical languages, multimodal integration, evaluation under noisy inputs (OCR/HTR errors), and the design of hybrid neuro-symbolic pipelines tailored to the reliability requirements of CH institutions.</w:t>
      </w:r>
    </w:p>
    <w:p>
      <w:pPr>
        <w:pStyle w:val="SubStyleBorder"/>
      </w:pPr>
      <w:bookmarkStart w:id="107" w:name="abs106"/>
      <w:r>
        <w:fldChar w:fldCharType="begin"/>
      </w:r>
      <w:r>
        <w:instrText xml:space="preserve">REF Index \h</w:instrText>
      </w:r>
      <w:r>
        <w:fldChar w:fldCharType="separate"/>
      </w:r>
      <w:r>
        <w:rPr>
          <w:color w:val="0000ff"/>
          <w:sz w:val="20"/>
          <w:szCs w:val="20"/>
        </w:rPr>
        <w:t>[8343]</w:t>
      </w:r>
      <w:r>
        <w:fldChar w:fldCharType="end"/>
      </w:r>
      <w:bookmarkEnd w:id="107"/>
      <w:r>
        <w:t xml:space="preserve"> </w:t>
      </w:r>
      <w:r>
        <w:rPr>
          <w:i/>
          <w:b/>
        </w:rPr>
        <w:t>GPR in the crypt of the Basilica of Saint Nicholas in Bari, Italy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Giovanni Leucci</w:t>
      </w:r>
      <w:r>
        <w:t xml:space="preserve"> (</w:t>
      </w:r>
      <w:r>
        <w:rPr>
          <w:color w:val="636363"/>
          <w:sz w:val="20"/>
          <w:szCs w:val="20"/>
        </w:rPr>
        <w:t>National Research Council</w:t>
      </w:r>
      <w:r>
        <w:t>)</w:t>
      </w:r>
      <w:r>
        <w:t xml:space="preserve">. </w:t>
      </w:r>
    </w:p>
    <w:p>
      <w:pPr>
        <w:pStyle w:val="Text"/>
      </w:pPr>
      <w:r>
        <w:t>The results of non-destructive integrated geophysical surveys (ground penetrating radar) performed in the crypt of the Basilica of St Nicholas in Bari, Italy are presented. The aim was twofold, namely to investigate the consistency of restoration work performed in 1950 and the presence of features of archaeological interest. The GPR technique has also been exploited to characterize the subsurface water content under the crypt. In particular, the existence of buried anomalies, probably due to the restoration work, has been identified. Moreover, by means of an electromagnetic-wave velocity analysis, an estimation of the volumetric water content under the floor has been achieved. The results indicate the main causes of the deterioration and have provided significant information for the safeguard of this historical building. Furthermore, the GPR survey allowed us to identify some anomalies buried under the crypt that are probably of archaeological interest.</w:t>
      </w:r>
    </w:p>
    <w:p>
      <w:pPr>
        <w:pStyle w:val="SubStyleBorder"/>
      </w:pPr>
      <w:bookmarkStart w:id="108" w:name="abs107"/>
      <w:r>
        <w:fldChar w:fldCharType="begin"/>
      </w:r>
      <w:r>
        <w:instrText xml:space="preserve">REF Index \h</w:instrText>
      </w:r>
      <w:r>
        <w:fldChar w:fldCharType="separate"/>
      </w:r>
      <w:r>
        <w:rPr>
          <w:color w:val="0000ff"/>
          <w:sz w:val="20"/>
          <w:szCs w:val="20"/>
        </w:rPr>
        <w:t>[8350]</w:t>
      </w:r>
      <w:r>
        <w:fldChar w:fldCharType="end"/>
      </w:r>
      <w:bookmarkEnd w:id="108"/>
      <w:r>
        <w:t xml:space="preserve"> </w:t>
      </w:r>
      <w:r>
        <w:rPr>
          <w:i/>
          <w:b/>
        </w:rPr>
        <w:t>Reconstructing Armenian Colour Inks: Preliminary Results from Recipe-Based Formulation Studies</w:t>
      </w:r>
    </w:p>
    <w:p>
      <w:pPr>
        <w:pStyle w:val="Authors"/>
      </w:pPr>
      <w:r>
        <w:t>Hermine Grigoryan</w:t>
      </w:r>
      <w:r>
        <w:t xml:space="preserve"> (</w:t>
      </w:r>
      <w:r>
        <w:rPr>
          <w:color w:val="636363"/>
          <w:sz w:val="20"/>
          <w:szCs w:val="20"/>
        </w:rPr>
        <w:t>Universität Hamburg</w:t>
      </w:r>
      <w:r>
        <w:t>)</w:t>
      </w:r>
      <w:r>
        <w:t xml:space="preserve">, </w:t>
      </w:r>
      <w:r>
        <w:t>Armen Sahakyan</w:t>
      </w:r>
      <w:r>
        <w:t xml:space="preserve"> (</w:t>
      </w:r>
      <w:r>
        <w:rPr>
          <w:color w:val="636363"/>
          <w:sz w:val="20"/>
          <w:szCs w:val="20"/>
        </w:rPr>
        <w:t>Matenadaran Mesrop Mashtots Research Institute of Ancient Manuscripts</w:t>
      </w:r>
      <w:r>
        <w:t>)</w:t>
      </w:r>
      <w:r>
        <w:t xml:space="preserve">. </w:t>
      </w:r>
    </w:p>
    <w:p>
      <w:pPr>
        <w:pStyle w:val="Text"/>
      </w:pPr>
      <w:r>
        <w:t>Plant-based natural colours played an important role in the Armenian manuscript tradition, used in illumination and calligraphy. Yet the production techniques and materiality of these colours remain insufficiently explored analytically, limiting their reliable identification and characterization in written artefacts. This paper presents preliminary results from an ongoing project studying Armenian recipes that describe colour formulations used as both paints and inks. The formulations are treated as “colour inks,” including cases that do not fit classical iron–gall chemistries. Recipes were collected from manuscripts on art and alchemy and grouped by colour. Natural ingredients (e.g., madder, iris, saffron) were prepared according to recipe indications, and inks were applied to matching supports. A stepwise, non-invasive analytical workflow is being developed, starting with Fiber Optic Reflectance Spectroscopy (FORS) and later integrating complementary methods. Early mock-ups indicate that multiple recipe clusters across red, blue, green, yellow, and related hues can be reconstructed with practical applicability.</w:t>
      </w:r>
    </w:p>
    <w:p>
      <w:pPr>
        <w:pStyle w:val="SubStyleBorder"/>
      </w:pPr>
      <w:bookmarkStart w:id="109" w:name="abs108"/>
      <w:r>
        <w:fldChar w:fldCharType="begin"/>
      </w:r>
      <w:r>
        <w:instrText xml:space="preserve">REF Index \h</w:instrText>
      </w:r>
      <w:r>
        <w:fldChar w:fldCharType="separate"/>
      </w:r>
      <w:r>
        <w:rPr>
          <w:color w:val="0000ff"/>
          <w:sz w:val="20"/>
          <w:szCs w:val="20"/>
        </w:rPr>
        <w:t>[8354]</w:t>
      </w:r>
      <w:r>
        <w:fldChar w:fldCharType="end"/>
      </w:r>
      <w:bookmarkEnd w:id="109"/>
      <w:r>
        <w:t xml:space="preserve"> </w:t>
      </w:r>
      <w:r>
        <w:rPr>
          <w:i/>
          <w:b/>
        </w:rPr>
        <w:t>Low-Cost LiDAR for 3D Documentation and Degradation Assessment of Heritage City Walls</w:t>
      </w:r>
    </w:p>
    <w:p>
      <w:pPr>
        <w:pStyle w:val="Authors"/>
      </w:pPr>
      <w:r>
        <w:t>Marcin Jagoda</w:t>
      </w:r>
      <w:r>
        <w:t xml:space="preserve"> (</w:t>
      </w:r>
      <w:r>
        <w:rPr>
          <w:color w:val="636363"/>
          <w:sz w:val="20"/>
          <w:szCs w:val="20"/>
        </w:rPr>
        <w:t>Faculty of Civil Engineering, Environmental Engineering and Geodesy, Koszalin University of Technology</w:t>
      </w:r>
      <w:r>
        <w:t>)</w:t>
      </w:r>
      <w:r>
        <w:t xml:space="preserve">, </w:t>
      </w:r>
      <w:r>
        <w:t>Piotr Kędziorski</w:t>
      </w:r>
      <w:r>
        <w:t xml:space="preserve"> (</w:t>
      </w:r>
      <w:r>
        <w:rPr>
          <w:color w:val="636363"/>
          <w:sz w:val="20"/>
          <w:szCs w:val="20"/>
        </w:rPr>
        <w:t>Faculty of Civil Engineering, Environmental Engineering and Geodesy, Koszalin University of Technology</w:t>
      </w:r>
      <w:r>
        <w:t>)</w:t>
      </w:r>
      <w:r>
        <w:t xml:space="preserve">. </w:t>
      </w:r>
    </w:p>
    <w:p>
      <w:pPr>
        <w:pStyle w:val="Text"/>
      </w:pPr>
      <w:r>
        <w:t>This study examines the potential of low-cost LiDAR technology for 3D documentation and degradation assessment of cultural heritage structures, using the medieval city walls in Koszalin, Poland, as a case study. The analyses were conducted at three spatial scales: an approximately 33 m long wall section, a larger fragment covering approximately 13 m², and a smaller fragment covering approximately 1.5 m². Measurements were performed using an Apple iPad Pro with selected mobile scanning applications, a FreeScan Combo handheld scanner, and a Z+F 5016 terrestrial laser scanner as the reference system. The study comprised two stages: an accuracy assessment and the detection of changes between measurements conducted one year apart. For the entire wall, mobile LiDAR data contained substantial registration errors and were not sufficiently reliable for detailed degradation assessment. Accuracy improved significantly for smaller areas. For the larger and smaller fragments, Pix4D Fused achieved 97.42% and 98.55% of points within 5 mm of the TLS reference, respectively. The FreeScan Combo also performed substantially better for the smaller fragment, with 76.59% of points within 3 mm and degradation patterns comparable to TLS. The results confirm that low-cost LiDAR is most effective for targeted documentation and monitoring of limited areas rather than large, geometrically complex heritage structures.</w:t>
      </w:r>
    </w:p>
    <w:p>
      <w:pPr>
        <w:pStyle w:val="SubStyleBorder"/>
      </w:pPr>
      <w:bookmarkStart w:id="110" w:name="abs109"/>
      <w:r>
        <w:fldChar w:fldCharType="begin"/>
      </w:r>
      <w:r>
        <w:instrText xml:space="preserve">REF Index \h</w:instrText>
      </w:r>
      <w:r>
        <w:fldChar w:fldCharType="separate"/>
      </w:r>
      <w:r>
        <w:rPr>
          <w:color w:val="0000ff"/>
          <w:sz w:val="20"/>
          <w:szCs w:val="20"/>
        </w:rPr>
        <w:t>[8403]</w:t>
      </w:r>
      <w:r>
        <w:fldChar w:fldCharType="end"/>
      </w:r>
      <w:bookmarkEnd w:id="110"/>
      <w:r>
        <w:t xml:space="preserve"> </w:t>
      </w:r>
      <w:r>
        <w:rPr>
          <w:i/>
          <w:b/>
        </w:rPr>
        <w:t>GAN-Based Synthetic Data Augmentation for Masonry Crack Segmentation in Cultural Heritage Buildings</w:t>
      </w:r>
    </w:p>
    <w:p>
      <w:pPr>
        <w:pStyle w:val="Authors"/>
      </w:pPr>
      <w:r>
        <w:t>Mattia Forlesi</w:t>
      </w:r>
      <w:r>
        <w:t xml:space="preserve"> (</w:t>
      </w:r>
      <w:r>
        <w:rPr>
          <w:color w:val="636363"/>
          <w:sz w:val="20"/>
          <w:szCs w:val="20"/>
        </w:rPr>
        <w:t>University of Bologna</w:t>
      </w:r>
      <w:r>
        <w:t>)</w:t>
      </w:r>
      <w:r>
        <w:t xml:space="preserve">, </w:t>
      </w:r>
      <w:r>
        <w:t>Leonardo Ciabattini</w:t>
      </w:r>
      <w:r>
        <w:t xml:space="preserve"> (</w:t>
      </w:r>
      <w:r>
        <w:rPr>
          <w:color w:val="636363"/>
          <w:sz w:val="20"/>
          <w:szCs w:val="20"/>
        </w:rPr>
        <w:t>University of Bologna</w:t>
      </w:r>
      <w:r>
        <w:t>)</w:t>
      </w:r>
      <w:r>
        <w:t xml:space="preserve">, </w:t>
      </w:r>
      <w:r>
        <w:t>Giacomo Leonardi</w:t>
      </w:r>
      <w:r>
        <w:t xml:space="preserve"> (</w:t>
      </w:r>
      <w:r>
        <w:rPr>
          <w:color w:val="636363"/>
          <w:sz w:val="20"/>
          <w:szCs w:val="20"/>
        </w:rPr>
        <w:t>EBWorld s.r.l.</w:t>
      </w:r>
      <w:r>
        <w:t>)</w:t>
      </w:r>
      <w:r>
        <w:t xml:space="preserve">, </w:t>
      </w:r>
      <w:r>
        <w:t>Marco Di Felice</w:t>
      </w:r>
      <w:r>
        <w:t xml:space="preserve"> (</w:t>
      </w:r>
      <w:r>
        <w:rPr>
          <w:color w:val="636363"/>
          <w:sz w:val="20"/>
          <w:szCs w:val="20"/>
        </w:rPr>
        <w:t>University of Bologna</w:t>
      </w:r>
      <w:r>
        <w:t>)</w:t>
      </w:r>
      <w:r>
        <w:t xml:space="preserve">. </w:t>
      </w:r>
    </w:p>
    <w:p>
      <w:pPr>
        <w:pStyle w:val="Text"/>
      </w:pPr>
      <w:r>
        <w:t>Cultural heritage masonry buildings require reliable monitoring strategies to support their preservation and structural assessment. Among the most relevant damage indicators, cracks provide essential information on possible deterioration processes and structural vulnerabilities. However, the use of deep learning (DL) methods for crack segmentation is often limited by the availability of real annotated images, which can be difficult and time-consuming to collect, especially in the case of heritage assets characterized by accessibility constraints, conservation requirements, and site-specific masonry typologies. This paper proposes a deep learning-based methodology for masonry crack segmentation using synthetic data augmentation through Generative Adversarial Networks (GANs). The study focuses on masonry images collected in the historical urban context of Bologna city center and its remaining city walls. A GAN is trained to generate synthetic crack images, which are combined with real data according to different synthetic/real training configurations. The resulting datasets are used to train a U-Net InceptionV4 segmentation model, where the best configuration reaches 77.7% F1-score and 80.9% mean Intersection over Union (mIoU). The results show that GAN-generated images can support crack segmentation performance, in a full automated process, reducing the dependence on real annotated images while achieving results comparable to the real-only baseline.</w:t>
      </w:r>
    </w:p>
    <w:p>
      <w:pPr>
        <w:pStyle w:val="SubStyleBorder"/>
      </w:pPr>
      <w:bookmarkStart w:id="111" w:name="abs110"/>
      <w:r>
        <w:fldChar w:fldCharType="begin"/>
      </w:r>
      <w:r>
        <w:instrText xml:space="preserve">REF Index \h</w:instrText>
      </w:r>
      <w:r>
        <w:fldChar w:fldCharType="separate"/>
      </w:r>
      <w:r>
        <w:rPr>
          <w:color w:val="0000ff"/>
          <w:sz w:val="20"/>
          <w:szCs w:val="20"/>
        </w:rPr>
        <w:t>[8449]</w:t>
      </w:r>
      <w:r>
        <w:fldChar w:fldCharType="end"/>
      </w:r>
      <w:bookmarkEnd w:id="111"/>
      <w:r>
        <w:t xml:space="preserve"> </w:t>
      </w:r>
      <w:r>
        <w:rPr>
          <w:i/>
          <w:b/>
        </w:rPr>
        <w:t>Landscape, Geology and Settlement Patterns in Eastern Sardinia: A GIS Analysis of Archaeological Site Distribution</w:t>
      </w:r>
    </w:p>
    <w:p>
      <w:pPr>
        <w:pStyle w:val="Authors"/>
      </w:pPr>
      <w:r>
        <w:t>Marco Sfacteria</w:t>
      </w:r>
      <w:r>
        <w:t xml:space="preserve"> (</w:t>
      </w:r>
      <w:r>
        <w:rPr>
          <w:color w:val="636363"/>
          <w:sz w:val="20"/>
          <w:szCs w:val="20"/>
        </w:rPr>
        <w:t>University of Messina</w:t>
      </w:r>
      <w:r>
        <w:t>)</w:t>
      </w:r>
      <w:r>
        <w:t xml:space="preserve">, </w:t>
      </w:r>
      <w:r>
        <w:t>Dario Gioia</w:t>
      </w:r>
      <w:r>
        <w:t xml:space="preserve"> (</w:t>
      </w:r>
      <w:r>
        <w:rPr>
          <w:color w:val="636363"/>
          <w:sz w:val="20"/>
          <w:szCs w:val="20"/>
        </w:rPr>
        <w:t>CNR-ISPC</w:t>
      </w:r>
      <w:r>
        <w:t>)</w:t>
      </w:r>
      <w:r>
        <w:t xml:space="preserve">, </w:t>
      </w:r>
      <w:r>
        <w:t>Valentina Casella</w:t>
      </w:r>
      <w:r>
        <w:t xml:space="preserve"> (</w:t>
      </w:r>
      <w:r>
        <w:rPr>
          <w:color w:val="636363"/>
          <w:sz w:val="20"/>
          <w:szCs w:val="20"/>
        </w:rPr>
        <w:t>University of Messina</w:t>
      </w:r>
      <w:r>
        <w:t>)</w:t>
      </w:r>
      <w:r>
        <w:t xml:space="preserve">, </w:t>
      </w:r>
      <w:r>
        <w:t>Enrico Dirminti</w:t>
      </w:r>
      <w:r>
        <w:t xml:space="preserve"> (</w:t>
      </w:r>
      <w:r>
        <w:rPr>
          <w:color w:val="636363"/>
          <w:sz w:val="20"/>
          <w:szCs w:val="20"/>
        </w:rPr>
        <w:t>Soprintendenza Archeologia, Belle Arti e Paesaggio per le Province di Sassari e Nuoro</w:t>
      </w:r>
      <w:r>
        <w:t>)</w:t>
      </w:r>
      <w:r>
        <w:t xml:space="preserve">, </w:t>
      </w:r>
      <w:r>
        <w:t>Giuseppe Corrado</w:t>
      </w:r>
      <w:r>
        <w:t xml:space="preserve"> (</w:t>
      </w:r>
      <w:r>
        <w:rPr>
          <w:color w:val="636363"/>
          <w:sz w:val="20"/>
          <w:szCs w:val="20"/>
        </w:rPr>
        <w:t>University Parthenope, Naples, Department of Science and Technology</w:t>
      </w:r>
      <w:r>
        <w:t>)</w:t>
      </w:r>
      <w:r>
        <w:t xml:space="preserve">, </w:t>
      </w:r>
      <w:r>
        <w:t>Marco Miano</w:t>
      </w:r>
      <w:r>
        <w:t xml:space="preserve"> (</w:t>
      </w:r>
      <w:r>
        <w:rPr>
          <w:color w:val="636363"/>
          <w:sz w:val="20"/>
          <w:szCs w:val="20"/>
        </w:rPr>
        <w:t>University of Messina</w:t>
      </w:r>
      <w:r>
        <w:t>)</w:t>
      </w:r>
      <w:r>
        <w:t xml:space="preserve">, </w:t>
      </w:r>
      <w:r>
        <w:t>Antonio Minervino Amodio</w:t>
      </w:r>
      <w:r>
        <w:t xml:space="preserve"> (</w:t>
      </w:r>
      <w:r>
        <w:rPr>
          <w:color w:val="636363"/>
          <w:sz w:val="20"/>
          <w:szCs w:val="20"/>
        </w:rPr>
        <w:t>CNR-ISPC</w:t>
      </w:r>
      <w:r>
        <w:t>)</w:t>
      </w:r>
      <w:r>
        <w:t xml:space="preserve">, </w:t>
      </w:r>
      <w:r>
        <w:t>Marco Mulargia</w:t>
      </w:r>
      <w:r>
        <w:t xml:space="preserve"> (</w:t>
      </w:r>
      <w:r>
        <w:rPr>
          <w:color w:val="636363"/>
          <w:sz w:val="20"/>
          <w:szCs w:val="20"/>
        </w:rPr>
        <w:t>University of Sassari</w:t>
      </w:r>
      <w:r>
        <w:t>)</w:t>
      </w:r>
      <w:r>
        <w:t xml:space="preserve">. </w:t>
      </w:r>
    </w:p>
    <w:p>
      <w:pPr>
        <w:pStyle w:val="Text"/>
      </w:pPr>
      <w:r>
        <w:t>The territory of Siniscola (northeastern Sardinia) preserves a rich but still insufficiently investigated archaeological record spanning from prehistory to the Byzantine period. Since 2024, the University of Messina has undertaken a systematic survey of the Berchida basin aimed at reconstructing long-term settlement dynamics and landscape use. This study integrates archaeological, geological, and geomorphological data within a GIS environment, combining approximately one hundred known archaeological sites with spatial analyses of landforms, geology, topography, and hydrology. Archaeological evidence includes Nuragic settlements, funerary monuments, Roman rural sites, and coastal occupations traditionally. Through GIS-based mapping and quantitative spatial analysis, the project investigates the relationship between settlement distribution and environmental factors, providing a methodological framework for understanding human occupation patterns and landscape exploitation in eastern Sardinia.</w:t>
      </w:r>
    </w:p>
    <w:p>
      <w:pPr>
        <w:pStyle w:val="SubStyleBorder"/>
      </w:pPr>
      <w:bookmarkStart w:id="112" w:name="abs111"/>
      <w:r>
        <w:fldChar w:fldCharType="begin"/>
      </w:r>
      <w:r>
        <w:instrText xml:space="preserve">REF Index \h</w:instrText>
      </w:r>
      <w:r>
        <w:fldChar w:fldCharType="separate"/>
      </w:r>
      <w:r>
        <w:rPr>
          <w:color w:val="0000ff"/>
          <w:sz w:val="20"/>
          <w:szCs w:val="20"/>
        </w:rPr>
        <w:t>[8518]</w:t>
      </w:r>
      <w:r>
        <w:fldChar w:fldCharType="end"/>
      </w:r>
      <w:bookmarkEnd w:id="112"/>
      <w:r>
        <w:t xml:space="preserve"> </w:t>
      </w:r>
      <w:r>
        <w:rPr>
          <w:i/>
          <w:b/>
        </w:rPr>
        <w:t>Dyes characterization in daguerreotypes: a multi-technique approach</w:t>
      </w:r>
    </w:p>
    <w:p>
      <w:pPr>
        <w:pStyle w:val="Authors"/>
      </w:pPr>
      <w:r>
        <w:t>Monia Vadrucci</w:t>
      </w:r>
      <w:r>
        <w:t xml:space="preserve"> (</w:t>
      </w:r>
      <w:r>
        <w:rPr>
          <w:color w:val="636363"/>
          <w:sz w:val="20"/>
          <w:szCs w:val="20"/>
        </w:rPr>
        <w:t>Italian Space Agency, ASI</w:t>
      </w:r>
      <w:r>
        <w:t>)</w:t>
      </w:r>
      <w:r>
        <w:t xml:space="preserve">, </w:t>
      </w:r>
      <w:r>
        <w:t>Francesco D'Amico</w:t>
      </w:r>
      <w:r>
        <w:t xml:space="preserve"> (</w:t>
      </w:r>
      <w:r>
        <w:rPr>
          <w:color w:val="636363"/>
          <w:sz w:val="20"/>
          <w:szCs w:val="20"/>
        </w:rPr>
        <w:t>Elettra-Sincrotrone Trieste</w:t>
      </w:r>
      <w:r>
        <w:t>)</w:t>
      </w:r>
      <w:r>
        <w:t xml:space="preserve">, </w:t>
      </w:r>
      <w:r>
        <w:t>Chiaramaria Stani</w:t>
      </w:r>
      <w:r>
        <w:t xml:space="preserve"> (</w:t>
      </w:r>
      <w:r>
        <w:rPr>
          <w:color w:val="636363"/>
          <w:sz w:val="20"/>
          <w:szCs w:val="20"/>
        </w:rPr>
        <w:t>Elettra-Sincrotrone Trieste</w:t>
      </w:r>
      <w:r>
        <w:t>)</w:t>
      </w:r>
      <w:r>
        <w:t xml:space="preserve">, </w:t>
      </w:r>
      <w:r>
        <w:t>Lisa Vaccari</w:t>
      </w:r>
      <w:r>
        <w:t xml:space="preserve"> (</w:t>
      </w:r>
      <w:r>
        <w:rPr>
          <w:color w:val="636363"/>
          <w:sz w:val="20"/>
          <w:szCs w:val="20"/>
        </w:rPr>
        <w:t>Elettra-Sincrotrone Trieste S.C.p.A., Strada Statale 14 – km 163,5 in AREA Science Park, 34149 Basovizza, TS, Italy</w:t>
      </w:r>
      <w:r>
        <w:t>)</w:t>
      </w:r>
      <w:r>
        <w:t xml:space="preserve">, </w:t>
      </w:r>
      <w:r>
        <w:t>Agnese De Carlo</w:t>
      </w:r>
      <w:r>
        <w:t xml:space="preserve"> (</w:t>
      </w:r>
      <w:r>
        <w:rPr>
          <w:color w:val="636363"/>
          <w:sz w:val="20"/>
          <w:szCs w:val="20"/>
        </w:rPr>
        <w:t>Elettra-Sincrotrone Trieste S.C.p.A., Strada Statale 14 – km 163,5 in AREA Science Park, 34149 Basovizza, TS, Italy</w:t>
      </w:r>
      <w:r>
        <w:t>)</w:t>
      </w:r>
      <w:r>
        <w:t xml:space="preserve">, </w:t>
      </w:r>
      <w:r>
        <w:t>Martina Conti</w:t>
      </w:r>
      <w:r>
        <w:t xml:space="preserve"> (</w:t>
      </w:r>
      <w:r>
        <w:rPr>
          <w:color w:val="636363"/>
          <w:sz w:val="20"/>
          <w:szCs w:val="20"/>
        </w:rPr>
        <w:t>CNR-IOM, Istituto Officina dei Materiali, Consiglio Nazionale Ricerche, AREA Science Park, 34149 Basovizza, TS</w:t>
      </w:r>
      <w:r>
        <w:t>)</w:t>
      </w:r>
      <w:r>
        <w:t xml:space="preserve">, </w:t>
      </w:r>
      <w:r>
        <w:t>Elena Correra</w:t>
      </w:r>
      <w:r>
        <w:t xml:space="preserve"> (</w:t>
      </w:r>
      <w:r>
        <w:rPr>
          <w:color w:val="636363"/>
          <w:sz w:val="20"/>
          <w:szCs w:val="20"/>
        </w:rPr>
        <w:t>Archivio fotografico della Fondazione Cineteca di Bologna</w:t>
      </w:r>
      <w:r>
        <w:t>)</w:t>
      </w:r>
      <w:r>
        <w:t xml:space="preserve">, </w:t>
      </w:r>
      <w:r>
        <w:t>Melissa Gianferrari</w:t>
      </w:r>
      <w:r>
        <w:t xml:space="preserve"> (</w:t>
      </w:r>
      <w:r>
        <w:rPr>
          <w:color w:val="636363"/>
          <w:sz w:val="20"/>
          <w:szCs w:val="20"/>
        </w:rPr>
        <w:t>Accademia di Belle Arti di Bologna</w:t>
      </w:r>
      <w:r>
        <w:t>)</w:t>
      </w:r>
      <w:r>
        <w:t xml:space="preserve">, </w:t>
      </w:r>
      <w:r>
        <w:t>Sara Zucchi</w:t>
      </w:r>
      <w:r>
        <w:t xml:space="preserve"> (</w:t>
      </w:r>
      <w:r>
        <w:rPr>
          <w:color w:val="636363"/>
          <w:sz w:val="20"/>
          <w:szCs w:val="20"/>
        </w:rPr>
        <w:t>Accademia di Belle Arti di Bologna</w:t>
      </w:r>
      <w:r>
        <w:t>)</w:t>
      </w:r>
      <w:r>
        <w:t xml:space="preserve">. </w:t>
      </w:r>
    </w:p>
    <w:p>
      <w:pPr>
        <w:pStyle w:val="Text"/>
      </w:pPr>
      <w:r>
        <w:t>This study presents a multi-technique spectroscopic investigation of nineteenth-century hand-colored daguerreotypes from the David Robinson Collection (Cineteca di Bologna). Raman, infrared (IR), optical test-reflection (OPTIR) spectroscopies, and confocal fluorescence microscopy were employed to identify the pigments, dyes, and binding media used in the manual retouching. We demonstrate how the integration of these complementary techniques is fundamental to providing a detailed molecular fingerprint of the coloring materials and their interaction with the metallic daguerreotype surface, offering insights for conservation strategies and the preservation of cultural heritage.</w:t>
      </w:r>
    </w:p>
    <w:p>
      <w:pPr>
        <w:pStyle w:val="SubStyleBorder"/>
      </w:pPr>
      <w:bookmarkStart w:id="113" w:name="abs112"/>
      <w:r>
        <w:fldChar w:fldCharType="begin"/>
      </w:r>
      <w:r>
        <w:instrText xml:space="preserve">REF Index \h</w:instrText>
      </w:r>
      <w:r>
        <w:fldChar w:fldCharType="separate"/>
      </w:r>
      <w:r>
        <w:rPr>
          <w:color w:val="0000ff"/>
          <w:sz w:val="20"/>
          <w:szCs w:val="20"/>
        </w:rPr>
        <w:t>[8590]</w:t>
      </w:r>
      <w:r>
        <w:fldChar w:fldCharType="end"/>
      </w:r>
      <w:bookmarkEnd w:id="113"/>
      <w:r>
        <w:t xml:space="preserve"> </w:t>
      </w:r>
      <w:r>
        <w:rPr>
          <w:i/>
          <w:b/>
        </w:rPr>
        <w:t>On the geometric reconstruction of the industrial archaeological buildings from satellite imagery</w:t>
      </w:r>
    </w:p>
    <w:p>
      <w:pPr>
        <w:pStyle w:val="Authors"/>
      </w:pPr>
      <w:r>
        <w:t>Jose' Luis Tello Espinoza</w:t>
      </w:r>
      <w:r>
        <w:t xml:space="preserve"> (</w:t>
      </w:r>
      <w:r>
        <w:rPr>
          <w:color w:val="636363"/>
          <w:sz w:val="20"/>
          <w:szCs w:val="20"/>
        </w:rPr>
        <w:t>University of Bergamo</w:t>
      </w:r>
      <w:r>
        <w:t>)</w:t>
      </w:r>
      <w:r>
        <w:t xml:space="preserve">, </w:t>
      </w:r>
      <w:r>
        <w:t>Joel Aldrighettoni</w:t>
      </w:r>
      <w:r>
        <w:t xml:space="preserve"> (</w:t>
      </w:r>
      <w:r>
        <w:rPr>
          <w:color w:val="636363"/>
          <w:sz w:val="20"/>
          <w:szCs w:val="20"/>
        </w:rPr>
        <w:t>Department of Engineering and Applied Sciences, University of Bergamo</w:t>
      </w:r>
      <w:r>
        <w:t>)</w:t>
      </w:r>
      <w:r>
        <w:t xml:space="preserve">, </w:t>
      </w:r>
      <w:r>
        <w:t>Maria Grazia D'Urso</w:t>
      </w:r>
      <w:r>
        <w:t xml:space="preserve"> (</w:t>
      </w:r>
      <w:r>
        <w:rPr>
          <w:color w:val="636363"/>
          <w:sz w:val="20"/>
          <w:szCs w:val="20"/>
        </w:rPr>
        <w:t>Department of Engineering and Applied Sciences, University of Bergamo</w:t>
      </w:r>
      <w:r>
        <w:t>)</w:t>
      </w:r>
      <w:r>
        <w:t xml:space="preserve">. </w:t>
      </w:r>
    </w:p>
    <w:p>
      <w:pPr>
        <w:pStyle w:val="Text"/>
      </w:pPr>
      <w:r>
        <w:t>Within
the framework of methodologies employed for
object recognition independent of position, size, and
orientation, this paper presents an original numerical
approach that allows the geometric moments of any
order to be computed for polygonal domains of
arbitrary shape as a function of the vertex coordinates
al one. Such moments are, in fact, widely used as global
invariant properties of images for shape recognition,
object analysis, and representation. In particular, the
proposed application concerns the geometric
reconstruction, within a Matlab environment, of
several industrial archaeology buildings represented in
high resolution digital images acquired by the
WorldView 3 satellite constellation, in an area of
Campania. The results obtained from the
implementation of the numerical algorithm are
presented and co mpared with those obtained using a
commercial software package, verifying the reliability
of the algorithm not only in shape recognition but also
in geometric dimensionality.</w:t>
      </w:r>
    </w:p>
    <w:p>
      <w:pPr>
        <w:pStyle w:val="SubStyleBorder"/>
      </w:pPr>
      <w:bookmarkStart w:id="114" w:name="abs113"/>
      <w:r>
        <w:fldChar w:fldCharType="begin"/>
      </w:r>
      <w:r>
        <w:instrText xml:space="preserve">REF Index \h</w:instrText>
      </w:r>
      <w:r>
        <w:fldChar w:fldCharType="separate"/>
      </w:r>
      <w:r>
        <w:rPr>
          <w:color w:val="0000ff"/>
          <w:sz w:val="20"/>
          <w:szCs w:val="20"/>
        </w:rPr>
        <w:t>[8688]</w:t>
      </w:r>
      <w:r>
        <w:fldChar w:fldCharType="end"/>
      </w:r>
      <w:bookmarkEnd w:id="114"/>
      <w:r>
        <w:t xml:space="preserve"> </w:t>
      </w:r>
      <w:r>
        <w:rPr>
          <w:i/>
          <w:b/>
        </w:rPr>
        <w:t>Ecological Successions are Responsible for the Biodeterioration of Compositionum: A Multidisciplinary Approach</w:t>
      </w:r>
    </w:p>
    <w:p>
      <w:pPr>
        <w:pStyle w:val="Authors"/>
      </w:pPr>
      <w:r>
        <w:t>Chiara Gardenghi</w:t>
      </w:r>
      <w:r>
        <w:t xml:space="preserve"> (</w:t>
      </w:r>
      <w:r>
        <w:rPr>
          <w:color w:val="636363"/>
          <w:sz w:val="20"/>
          <w:szCs w:val="20"/>
        </w:rPr>
        <w:t>PhD Program in Evolutionary Biology and Ecology, University of Rome Tor Vergata</w:t>
      </w:r>
      <w:r>
        <w:t>)</w:t>
      </w:r>
      <w:r>
        <w:t xml:space="preserve">, </w:t>
      </w:r>
      <w:r>
        <w:t>Annamaria Alabiso</w:t>
      </w:r>
      <w:r>
        <w:t xml:space="preserve"> (</w:t>
      </w:r>
      <w:r>
        <w:rPr>
          <w:color w:val="636363"/>
          <w:sz w:val="20"/>
          <w:szCs w:val="20"/>
        </w:rPr>
        <w:t>Department of Literary, Philosophical and Art History Studies, University of Rome Tor Vergata							</w:t>
      </w:r>
      <w:r>
        <w:t>)</w:t>
      </w:r>
      <w:r>
        <w:t xml:space="preserve">, </w:t>
      </w:r>
      <w:r>
        <w:t>Marco Maria D'Andrea</w:t>
      </w:r>
      <w:r>
        <w:t xml:space="preserve"> (</w:t>
      </w:r>
      <w:r>
        <w:rPr>
          <w:color w:val="636363"/>
          <w:sz w:val="20"/>
          <w:szCs w:val="20"/>
        </w:rPr>
        <w:t>Department of Biology, Tor Vergata University of Rome</w:t>
      </w:r>
      <w:r>
        <w:t>)</w:t>
      </w:r>
      <w:r>
        <w:t xml:space="preserve">, </w:t>
      </w:r>
      <w:r>
        <w:t>Sara Frasca</w:t>
      </w:r>
      <w:r>
        <w:t xml:space="preserve"> (</w:t>
      </w:r>
      <w:r>
        <w:rPr>
          <w:color w:val="636363"/>
          <w:sz w:val="20"/>
          <w:szCs w:val="20"/>
        </w:rPr>
        <w:t>Department of Environmental Biology, Sapienza University of Rome</w:t>
      </w:r>
      <w:r>
        <w:t>)</w:t>
      </w:r>
      <w:r>
        <w:t xml:space="preserve">, </w:t>
      </w:r>
      <w:r>
        <w:t>Valeria Guglielmotti</w:t>
      </w:r>
      <w:r>
        <w:t xml:space="preserve"> (</w:t>
      </w:r>
      <w:r>
        <w:rPr>
          <w:color w:val="636363"/>
          <w:sz w:val="20"/>
          <w:szCs w:val="20"/>
        </w:rPr>
        <w:t>Department of Chemical Science and Technologies, Tor Vergata University of Rome</w:t>
      </w:r>
      <w:r>
        <w:t>)</w:t>
      </w:r>
      <w:r>
        <w:t xml:space="preserve">, </w:t>
      </w:r>
      <w:r>
        <w:t>Claudia Mazzuca</w:t>
      </w:r>
      <w:r>
        <w:t xml:space="preserve"> (</w:t>
      </w:r>
      <w:r>
        <w:rPr>
          <w:color w:val="636363"/>
          <w:sz w:val="20"/>
          <w:szCs w:val="20"/>
        </w:rPr>
        <w:t>Department of Chemical Science and Technologies, Tor Vergata University of Rome</w:t>
      </w:r>
      <w:r>
        <w:t>)</w:t>
      </w:r>
      <w:r>
        <w:t xml:space="preserve">, </w:t>
      </w:r>
      <w:r>
        <w:t>Noemi Orazi</w:t>
      </w:r>
      <w:r>
        <w:t xml:space="preserve"> (</w:t>
      </w:r>
      <w:r>
        <w:rPr>
          <w:color w:val="636363"/>
          <w:sz w:val="20"/>
          <w:szCs w:val="20"/>
        </w:rPr>
        <w:t>Department of Industrial Engineering, Tor Vergata University of Rome</w:t>
      </w:r>
      <w:r>
        <w:t>)</w:t>
      </w:r>
      <w:r>
        <w:t xml:space="preserve">, </w:t>
      </w:r>
      <w:r>
        <w:t>Beatrice Ercolani</w:t>
      </w:r>
      <w:r>
        <w:t xml:space="preserve"> (</w:t>
      </w:r>
      <w:r>
        <w:rPr>
          <w:color w:val="636363"/>
          <w:sz w:val="20"/>
          <w:szCs w:val="20"/>
        </w:rPr>
        <w:t>Dept. of Chemical Science and Technologies, Tor Vergata University of Rome</w:t>
      </w:r>
      <w:r>
        <w:t>)</w:t>
      </w:r>
      <w:r>
        <w:t xml:space="preserve">, </w:t>
      </w:r>
      <w:r>
        <w:t>Stefano Paoloni</w:t>
      </w:r>
      <w:r>
        <w:t xml:space="preserve"> (</w:t>
      </w:r>
      <w:r>
        <w:rPr>
          <w:color w:val="636363"/>
          <w:sz w:val="20"/>
          <w:szCs w:val="20"/>
        </w:rPr>
        <w:t>Dept. of Industrial Engineering, Tor Vergata University of Rome</w:t>
      </w:r>
      <w:r>
        <w:t>)</w:t>
      </w:r>
      <w:r>
        <w:t xml:space="preserve">, </w:t>
      </w:r>
      <w:r>
        <w:t>Alessandro Rubechini</w:t>
      </w:r>
      <w:r>
        <w:t xml:space="preserve"> (</w:t>
      </w:r>
      <w:r>
        <w:rPr>
          <w:color w:val="636363"/>
          <w:sz w:val="20"/>
          <w:szCs w:val="20"/>
        </w:rPr>
        <w:t>Laboratory of Conservation, Restoration and Bookbinding, Vatican Apostolic Archive</w:t>
      </w:r>
      <w:r>
        <w:t>)</w:t>
      </w:r>
      <w:r>
        <w:t xml:space="preserve">, </w:t>
      </w:r>
      <w:r>
        <w:t>Luciana Migliore</w:t>
      </w:r>
      <w:r>
        <w:t xml:space="preserve"> (</w:t>
      </w:r>
      <w:r>
        <w:rPr>
          <w:color w:val="636363"/>
          <w:sz w:val="20"/>
          <w:szCs w:val="20"/>
        </w:rPr>
        <w:t>Department of Biology, Tor Vergata University of Rome</w:t>
      </w:r>
      <w:r>
        <w:t>)</w:t>
      </w:r>
      <w:r>
        <w:t xml:space="preserve">. </w:t>
      </w:r>
    </w:p>
    <w:p>
      <w:pPr>
        <w:pStyle w:val="Text"/>
      </w:pPr>
      <w:r>
        <w:t>Ancient books and documents constitute an important cultural heritage. They are multi-material artifacts composed of organic substrates, animal- or plant-based matrices (parchment vs. cardboard and paper), which make them highly susceptible to biodeterioration, due to the action of bacteria and fungi. “Compositionum”, four ancient volumes (1807) from the Apostolic Vatican Archive, made of the same materials and exposed to adverse environmental conditions, are characterized by different degrees of deterioration. A multidisciplinary approach was used, integrating DNA metabarcoding followed by Next Generation Sequencing (NGS), Light Transmission Analysis (LTA) [1], Raman and FTIR spectroscopies. The results showed that the biodeteriogen community composition changed throughout the deterioration stages, without transfer across the three matrices. These results confirmed the presence of ecological successions, in both protein and cellulose matrices, providing an important insight into the conservation and restoration of complex cultural heritage, whose preservation represents one of the major challenges of today’s society.</w:t>
      </w:r>
    </w:p>
    <w:p>
      <w:pPr>
        <w:pStyle w:val="SubStyleBorder"/>
      </w:pPr>
      <w:bookmarkStart w:id="115" w:name="abs114"/>
      <w:r>
        <w:fldChar w:fldCharType="begin"/>
      </w:r>
      <w:r>
        <w:instrText xml:space="preserve">REF Index \h</w:instrText>
      </w:r>
      <w:r>
        <w:fldChar w:fldCharType="separate"/>
      </w:r>
      <w:r>
        <w:rPr>
          <w:color w:val="0000ff"/>
          <w:sz w:val="20"/>
          <w:szCs w:val="20"/>
        </w:rPr>
        <w:t>[8699]</w:t>
      </w:r>
      <w:r>
        <w:fldChar w:fldCharType="end"/>
      </w:r>
      <w:bookmarkEnd w:id="115"/>
      <w:r>
        <w:t xml:space="preserve"> </w:t>
      </w:r>
      <w:r>
        <w:rPr>
          <w:i/>
          <w:b/>
        </w:rPr>
        <w:t>Design and Development of a Modular Tracked Robotic Platform for 3D Scanning Applications</w:t>
      </w:r>
    </w:p>
    <w:p>
      <w:pPr>
        <w:pStyle w:val="Authors"/>
      </w:pPr>
      <w:r>
        <w:t>Marian Jac</w:t>
      </w:r>
      <w:r>
        <w:t xml:space="preserve"> (</w:t>
      </w:r>
      <w:r>
        <w:rPr>
          <w:color w:val="636363"/>
          <w:sz w:val="20"/>
          <w:szCs w:val="20"/>
        </w:rPr>
        <w:t>Technical University of Cluj-Napoca</w:t>
      </w:r>
      <w:r>
        <w:t>)</w:t>
      </w:r>
      <w:r>
        <w:t xml:space="preserve">, </w:t>
      </w:r>
      <w:r>
        <w:t>Otilia Pauliuc</w:t>
      </w:r>
      <w:r>
        <w:t xml:space="preserve"> (</w:t>
      </w:r>
      <w:r>
        <w:rPr>
          <w:color w:val="636363"/>
          <w:sz w:val="20"/>
          <w:szCs w:val="20"/>
        </w:rPr>
        <w:t>Technical University of Cluj-Napoca</w:t>
      </w:r>
      <w:r>
        <w:t>)</w:t>
      </w:r>
      <w:r>
        <w:t xml:space="preserve">, </w:t>
      </w:r>
      <w:r>
        <w:t>Neamtu Calin</w:t>
      </w:r>
      <w:r>
        <w:t xml:space="preserve"> (</w:t>
      </w:r>
      <w:r>
        <w:rPr>
          <w:color w:val="636363"/>
          <w:sz w:val="20"/>
          <w:szCs w:val="20"/>
        </w:rPr>
        <w:t>Technical University of Cluj-Napoca</w:t>
      </w:r>
      <w:r>
        <w:t>)</w:t>
      </w:r>
      <w:r>
        <w:t xml:space="preserve">. </w:t>
      </w:r>
    </w:p>
    <w:p>
      <w:pPr>
        <w:pStyle w:val="Text"/>
      </w:pPr>
      <w:r>
        <w:t>This paper presents the design and experimental validation of a modular tracked robotic platform for 3D scanning applications in environments that are difficult to access for human operators. The proposed solution addresses key limitations of existing robotic systems which are characterized by excessive costs, complex architectures, and limited accessibility for research or rapid prototyping.
The platform introduces a low-cost and highly adaptable design, with most structural components manufactured using 3D printing. This enables fast development, reduced production costs, and easy replication. The tracked mobility system provides enhanced stability and flexibility on uneven terrain, making the robot suitable for applications such as archaeological documentation and exploration of structural unstable environments.
A dedicated mounting system was designed specifically for the GeoSLAM ZEB Horizon scanner, ensuring stable integration and easy installation on the robotic platform. Due to the platform architecture and the rapid fabrication process, the support structure can be easily adapted for different scanning equipment available on the market.
Experimental testing validated the mechanical stability and mobility of the platform, as well as its capability to support consistent scanning in real operating conditions.</w:t>
      </w:r>
    </w:p>
    <w:p>
      <w:pPr>
        <w:pStyle w:val="SubStyleBorder"/>
      </w:pPr>
      <w:bookmarkStart w:id="116" w:name="abs115"/>
      <w:r>
        <w:fldChar w:fldCharType="begin"/>
      </w:r>
      <w:r>
        <w:instrText xml:space="preserve">REF Index \h</w:instrText>
      </w:r>
      <w:r>
        <w:fldChar w:fldCharType="separate"/>
      </w:r>
      <w:r>
        <w:rPr>
          <w:color w:val="0000ff"/>
          <w:sz w:val="20"/>
          <w:szCs w:val="20"/>
        </w:rPr>
        <w:t>[8708]</w:t>
      </w:r>
      <w:r>
        <w:fldChar w:fldCharType="end"/>
      </w:r>
      <w:bookmarkEnd w:id="116"/>
      <w:r>
        <w:t xml:space="preserve"> </w:t>
      </w:r>
      <w:r>
        <w:rPr>
          <w:i/>
          <w:b/>
        </w:rPr>
        <w:t>Neutron imaging for the durability study of carbon-fibre-reinforced AAMs for cultural heritage applications</w:t>
      </w:r>
    </w:p>
    <w:p>
      <w:pPr>
        <w:pStyle w:val="Authors"/>
      </w:pPr>
      <w:r>
        <w:t>Sabrina Elettra Zafarana</w:t>
      </w:r>
      <w:r>
        <w:t xml:space="preserve"> (</w:t>
      </w:r>
      <w:r>
        <w:rPr>
          <w:color w:val="636363"/>
          <w:sz w:val="20"/>
          <w:szCs w:val="20"/>
        </w:rPr>
        <w:t>Department of Biological, Geological and Environmental Sciences, University of Catania</w:t>
      </w:r>
      <w:r>
        <w:t>)</w:t>
      </w:r>
      <w:r>
        <w:t xml:space="preserve">, </w:t>
      </w:r>
      <w:r>
        <w:t>Filomena Salvemini</w:t>
      </w:r>
      <w:r>
        <w:t xml:space="preserve"> (</w:t>
      </w:r>
      <w:r>
        <w:rPr>
          <w:color w:val="636363"/>
          <w:sz w:val="20"/>
          <w:szCs w:val="20"/>
        </w:rPr>
        <w:t>Australian Nuclear Science and Technology Organisation</w:t>
      </w:r>
      <w:r>
        <w:t>)</w:t>
      </w:r>
      <w:r>
        <w:t xml:space="preserve">, </w:t>
      </w:r>
      <w:r>
        <w:t>Maria Cristina Caggiani</w:t>
      </w:r>
      <w:r>
        <w:t xml:space="preserve"> (</w:t>
      </w:r>
      <w:r>
        <w:rPr>
          <w:color w:val="636363"/>
          <w:sz w:val="20"/>
          <w:szCs w:val="20"/>
        </w:rPr>
        <w:t>Department of Biological, Geological and Environmental Sciences, University of Catania</w:t>
      </w:r>
      <w:r>
        <w:t>)</w:t>
      </w:r>
      <w:r>
        <w:t xml:space="preserve">, </w:t>
      </w:r>
      <w:r>
        <w:t>Paolo Mazzoleni</w:t>
      </w:r>
      <w:r>
        <w:t xml:space="preserve"> (</w:t>
      </w:r>
      <w:r>
        <w:rPr>
          <w:color w:val="636363"/>
          <w:sz w:val="20"/>
          <w:szCs w:val="20"/>
        </w:rPr>
        <w:t>Department of Biological, Geological and Environmental Sciences, University of Catania</w:t>
      </w:r>
      <w:r>
        <w:t>)</w:t>
      </w:r>
      <w:r>
        <w:t xml:space="preserve">, </w:t>
      </w:r>
      <w:r>
        <w:t>Germana Barone</w:t>
      </w:r>
      <w:r>
        <w:t xml:space="preserve"> (</w:t>
      </w:r>
      <w:r>
        <w:rPr>
          <w:color w:val="636363"/>
          <w:sz w:val="20"/>
          <w:szCs w:val="20"/>
        </w:rPr>
        <w:t>Department of Biological, Geological and Environmental Sciences, University of Catania</w:t>
      </w:r>
      <w:r>
        <w:t>)</w:t>
      </w:r>
      <w:r>
        <w:t xml:space="preserve">. </w:t>
      </w:r>
    </w:p>
    <w:p>
      <w:pPr>
        <w:pStyle w:val="Text"/>
      </w:pPr>
      <w:r>
        <w:t>Alkali Activated Materials based on basalt sawing waste and metakaolin used for the conservation of cultural heritage were reinforced with carbon fibres to explore their mechanical performances and durability for structural applications. The specimens were subjected to salt crystallization cycles to investigate the capillary water absorption behaviour. Neutron tomography and radiography imaging techniques were employed as innovative tools to observe water uptake within the weathered and unweathered samples. Results show that the introduction of carbon fibres creates discontinuities within the materials, leading to preferential water transport along the discontinuities. These pathways promote preferential and rapid water uptake along the fibres and increase crack formation together with low salt crystallization resistance, therefore the employment of these reinforced materials for conservation of cultural heritage must be carefully considered.</w:t>
      </w:r>
    </w:p>
    <w:p>
      <w:pPr>
        <w:pStyle w:val="SubStyleBorder"/>
      </w:pPr>
      <w:bookmarkStart w:id="117" w:name="abs116"/>
      <w:r>
        <w:fldChar w:fldCharType="begin"/>
      </w:r>
      <w:r>
        <w:instrText xml:space="preserve">REF Index \h</w:instrText>
      </w:r>
      <w:r>
        <w:fldChar w:fldCharType="separate"/>
      </w:r>
      <w:r>
        <w:rPr>
          <w:color w:val="0000ff"/>
          <w:sz w:val="20"/>
          <w:szCs w:val="20"/>
        </w:rPr>
        <w:t>[8809]</w:t>
      </w:r>
      <w:r>
        <w:fldChar w:fldCharType="end"/>
      </w:r>
      <w:bookmarkEnd w:id="117"/>
      <w:r>
        <w:t xml:space="preserve"> </w:t>
      </w:r>
      <w:r>
        <w:rPr>
          <w:i/>
          <w:b/>
        </w:rPr>
        <w:t>Integrated Non-Invasive Archaeometric Investigation of the Trani Cathedral Historiated Floor Mosaic (12th Century, Apulia, Italy)</w:t>
      </w:r>
    </w:p>
    <w:p>
      <w:pPr>
        <w:pStyle w:val="Authors"/>
      </w:pPr>
      <w:r>
        <w:t>Gioacchino Tempesta</w:t>
      </w:r>
      <w:r>
        <w:t xml:space="preserve"> (</w:t>
      </w:r>
      <w:r>
        <w:rPr>
          <w:color w:val="636363"/>
          <w:sz w:val="20"/>
          <w:szCs w:val="20"/>
        </w:rPr>
        <w:t>Dipartimento Scienze della Terra e Geoambientali, Università degli Studi di Bari Aldo Moro</w:t>
      </w:r>
      <w:r>
        <w:t>)</w:t>
      </w:r>
      <w:r>
        <w:t xml:space="preserve">, </w:t>
      </w:r>
      <w:r>
        <w:t>Elisabetta Gadaleta</w:t>
      </w:r>
      <w:r>
        <w:t xml:space="preserve"> (</w:t>
      </w:r>
      <w:r>
        <w:rPr>
          <w:color w:val="636363"/>
          <w:sz w:val="20"/>
          <w:szCs w:val="20"/>
        </w:rPr>
        <w:t>Dipartimento Scienze della Terra e Geoambientali, Università degli Studi di Bari Aldo Moro</w:t>
      </w:r>
      <w:r>
        <w:t>)</w:t>
      </w:r>
      <w:r>
        <w:t xml:space="preserve">, </w:t>
      </w:r>
      <w:r>
        <w:t>Pasquale Acquafredda</w:t>
      </w:r>
      <w:r>
        <w:t xml:space="preserve"> (</w:t>
      </w:r>
      <w:r>
        <w:rPr>
          <w:color w:val="636363"/>
          <w:sz w:val="20"/>
          <w:szCs w:val="20"/>
        </w:rPr>
        <w:t>Dipartimento Scienze della Terra e Geoambientali, Università degli Studi di Bari Aldo Moro</w:t>
      </w:r>
      <w:r>
        <w:t>)</w:t>
      </w:r>
      <w:r>
        <w:t xml:space="preserve">, </w:t>
      </w:r>
      <w:r>
        <w:t>Manuela De Giorgi</w:t>
      </w:r>
      <w:r>
        <w:t xml:space="preserve"> (</w:t>
      </w:r>
      <w:r>
        <w:rPr>
          <w:color w:val="636363"/>
          <w:sz w:val="20"/>
          <w:szCs w:val="20"/>
        </w:rPr>
        <w:t>Dipartimento di Beni Culturali, Università del Salento</w:t>
      </w:r>
      <w:r>
        <w:t>)</w:t>
      </w:r>
      <w:r>
        <w:t xml:space="preserve">, </w:t>
      </w:r>
      <w:r>
        <w:t>Elisabetta Neri</w:t>
      </w:r>
      <w:r>
        <w:t xml:space="preserve"> (</w:t>
      </w:r>
      <w:r>
        <w:rPr>
          <w:color w:val="636363"/>
          <w:sz w:val="20"/>
          <w:szCs w:val="20"/>
        </w:rPr>
        <w:t>UMR Orient &amp; Mediterranee, CNRS / Sorbonne Université</w:t>
      </w:r>
      <w:r>
        <w:t>)</w:t>
      </w:r>
      <w:r>
        <w:t xml:space="preserve">, </w:t>
      </w:r>
      <w:r>
        <w:t>Anita Guarnieri</w:t>
      </w:r>
      <w:r>
        <w:t xml:space="preserve"> (</w:t>
      </w:r>
      <w:r>
        <w:rPr>
          <w:color w:val="636363"/>
          <w:sz w:val="20"/>
          <w:szCs w:val="20"/>
        </w:rPr>
        <w:t>Soprintendenza Archeologia, Belle Arti e Paesaggio per le province di Barletta-Andria-Trani e Foggia</w:t>
      </w:r>
      <w:r>
        <w:t>)</w:t>
      </w:r>
      <w:r>
        <w:t xml:space="preserve">, </w:t>
      </w:r>
      <w:r>
        <w:t>Gaia Caula</w:t>
      </w:r>
      <w:r>
        <w:t xml:space="preserve"> (</w:t>
      </w:r>
      <w:r>
        <w:rPr>
          <w:color w:val="636363"/>
          <w:sz w:val="20"/>
          <w:szCs w:val="20"/>
        </w:rPr>
        <w:t>Soprintendenza Archeologia, Belle Arti e Paesaggio per le province di Barletta-Andria-Trani e Foggia</w:t>
      </w:r>
      <w:r>
        <w:t>)</w:t>
      </w:r>
      <w:r>
        <w:t xml:space="preserve">. </w:t>
      </w:r>
    </w:p>
    <w:p>
      <w:pPr>
        <w:pStyle w:val="Text"/>
      </w:pPr>
      <w:r>
        <w:t>The presbyterial area of the Cathedral Basilica of Trani (BT), dedicated to Santa Maria Assunta, preserves several fragments (lacerti) of a historiated floor mosaic dating to the second half of the 12th century. Uncovered during major restoration works in 1959, the mosaic depicts Old Testament subjects together with phytomorphic, zoomorphic, and theriomorphic motifs. It consists of tesserae of varying sizes, generally on the order of one centimeter, primarily cut from polychrome limestones. In selected, visually prominent areas, however, polychrome artificial glass and obsidian tesserae also occur. Although the mosaic has previously been examined from an art-historical perspective, no archaeometric study had been undertaken to determine the composition and provenance of the geomaterials or the production technologies used for the synthetic materials. With the permission of the Archdiocese of Trani and the Superintendency of Archaeology, Fine Arts, and Landscape for the provinces of Foggia and Barletta-Andria-Trani, the first non-invasive and non-destructive archaeometric analyses were performed using complementary spectroscopic techniques, namely spectrophotocolorimetry, fibre-optic reflectance spectroscopy (FORS), and portable X-ray fluorescence (pXRF) (Fig. 1). This paper presents preliminary results from these analyses, carried out within a broader research project on medieval floor mosaics in Apulia.</w:t>
      </w:r>
    </w:p>
    <w:p>
      <w:pPr>
        <w:pStyle w:val="SubStyleBorder"/>
      </w:pPr>
      <w:bookmarkStart w:id="118" w:name="abs117"/>
      <w:r>
        <w:fldChar w:fldCharType="begin"/>
      </w:r>
      <w:r>
        <w:instrText xml:space="preserve">REF Index \h</w:instrText>
      </w:r>
      <w:r>
        <w:fldChar w:fldCharType="separate"/>
      </w:r>
      <w:r>
        <w:rPr>
          <w:color w:val="0000ff"/>
          <w:sz w:val="20"/>
          <w:szCs w:val="20"/>
        </w:rPr>
        <w:t>[8823]</w:t>
      </w:r>
      <w:r>
        <w:fldChar w:fldCharType="end"/>
      </w:r>
      <w:bookmarkEnd w:id="118"/>
      <w:r>
        <w:t xml:space="preserve"> </w:t>
      </w:r>
      <w:r>
        <w:rPr>
          <w:i/>
          <w:b/>
        </w:rPr>
        <w:t>GPR survey at the Church of “Santa Maria a Mare” in Maiori (Salerno, Italy)</w:t>
      </w:r>
    </w:p>
    <w:p>
      <w:pPr>
        <w:pStyle w:val="Authors"/>
      </w:pPr>
      <w:r>
        <w:t>Dora Francesca Barbolla</w:t>
      </w:r>
      <w:r>
        <w:t xml:space="preserve"> (</w:t>
      </w:r>
      <w:r>
        <w:rPr>
          <w:color w:val="636363"/>
          <w:sz w:val="20"/>
          <w:szCs w:val="20"/>
        </w:rPr>
        <w:t>CNR-ISPC</w:t>
      </w:r>
      <w:r>
        <w:t>)</w:t>
      </w:r>
      <w:r>
        <w:t xml:space="preserve">, </w:t>
      </w:r>
      <w:r>
        <w:t>Michele Punzo</w:t>
      </w:r>
      <w:r>
        <w:t xml:space="preserve"> (</w:t>
      </w:r>
      <w:r>
        <w:rPr>
          <w:color w:val="636363"/>
          <w:sz w:val="20"/>
          <w:szCs w:val="20"/>
        </w:rPr>
        <w:t>Institute of Heritage Science (ISPC) - National Research Council (CNR)</w:t>
      </w:r>
      <w:r>
        <w:t>)</w:t>
      </w:r>
      <w:r>
        <w:t xml:space="preserve">, </w:t>
      </w:r>
      <w:r>
        <w:t>Daniela Tarallo</w:t>
      </w:r>
      <w:r>
        <w:t xml:space="preserve"> (</w:t>
      </w:r>
      <w:r>
        <w:rPr>
          <w:color w:val="636363"/>
          <w:sz w:val="20"/>
          <w:szCs w:val="20"/>
        </w:rPr>
        <w:t>Institute of Heritage Science (ISPC) - National Research Council (CNR)</w:t>
      </w:r>
      <w:r>
        <w:t>)</w:t>
      </w:r>
      <w:r>
        <w:t xml:space="preserve">, </w:t>
      </w:r>
      <w:r>
        <w:t>Pasquale Daponte</w:t>
      </w:r>
      <w:r>
        <w:t xml:space="preserve"> (</w:t>
      </w:r>
      <w:r>
        <w:rPr>
          <w:color w:val="636363"/>
          <w:sz w:val="20"/>
          <w:szCs w:val="20"/>
        </w:rPr>
        <w:t>Department of Engeneering, University of Sannio, 82100, Benevento, Italy,</w:t>
      </w:r>
      <w:r>
        <w:t>)</w:t>
      </w:r>
      <w:r>
        <w:t xml:space="preserve">. </w:t>
      </w:r>
    </w:p>
    <w:p>
      <w:pPr>
        <w:pStyle w:val="Text"/>
      </w:pPr>
      <w:r>
        <w:t>The Collegiate Church of Santa Maria a Mare is the most important religious building in Maiori (Italy), on the Amalfi Coast. Famous for its dome clad in Vietri majolica, it overlooks the town and boasts a historic 14th-century bell tower and a magnificent gilded and polychrome wooden coffered ceiling. Historical documents highlight a series of significant alterations made to the structure of the monumental complex over the centuries. In order to uncover the hidden signs of these changes, geophysical surveys were carried out, using the GPR method. In this paper, the results of the GPR survey performed both outside and inside the church with the aim of identifying hidden spaces and structures of potential historical interest are presented.</w:t>
      </w:r>
    </w:p>
    <w:p>
      <w:pPr>
        <w:pStyle w:val="SubStyleBorder"/>
      </w:pPr>
      <w:bookmarkStart w:id="119" w:name="abs118"/>
      <w:r>
        <w:fldChar w:fldCharType="begin"/>
      </w:r>
      <w:r>
        <w:instrText xml:space="preserve">REF Index \h</w:instrText>
      </w:r>
      <w:r>
        <w:fldChar w:fldCharType="separate"/>
      </w:r>
      <w:r>
        <w:rPr>
          <w:color w:val="0000ff"/>
          <w:sz w:val="20"/>
          <w:szCs w:val="20"/>
        </w:rPr>
        <w:t>[8868]</w:t>
      </w:r>
      <w:r>
        <w:fldChar w:fldCharType="end"/>
      </w:r>
      <w:bookmarkEnd w:id="119"/>
      <w:r>
        <w:t xml:space="preserve"> </w:t>
      </w:r>
      <w:r>
        <w:rPr>
          <w:i/>
          <w:b/>
        </w:rPr>
        <w:t>Integrated 3D Surveying of Complex Historical Architecture: Static and Dynamic LiDAR Comparison in a Geomatics Education Context</w:t>
      </w:r>
    </w:p>
    <w:p>
      <w:pPr>
        <w:pStyle w:val="Authors"/>
      </w:pPr>
      <w:r>
        <w:t>Anna Forte</w:t>
      </w:r>
      <w:r>
        <w:t xml:space="preserve"> (</w:t>
      </w:r>
      <w:r>
        <w:rPr>
          <w:color w:val="636363"/>
          <w:sz w:val="20"/>
          <w:szCs w:val="20"/>
        </w:rPr>
        <w:t>Dept. of Civil, Chemical, Environmental and Materials Engineering (DICAM), University of Bologna, Italy</w:t>
      </w:r>
      <w:r>
        <w:t>)</w:t>
      </w:r>
      <w:r>
        <w:t xml:space="preserve">, </w:t>
      </w:r>
      <w:r>
        <w:t>Alessandro Lambertini</w:t>
      </w:r>
      <w:r>
        <w:t xml:space="preserve"> (</w:t>
      </w:r>
      <w:r>
        <w:rPr>
          <w:color w:val="636363"/>
          <w:sz w:val="20"/>
          <w:szCs w:val="20"/>
        </w:rPr>
        <w:t>Dept. of Civil, Chemical, Environmental and Materials Engineering (DICAM), University of Bologna, Italy</w:t>
      </w:r>
      <w:r>
        <w:t>)</w:t>
      </w:r>
      <w:r>
        <w:t xml:space="preserve">, </w:t>
      </w:r>
      <w:r>
        <w:t>Seyedehnarges Seyedkazemiardabili</w:t>
      </w:r>
      <w:r>
        <w:t xml:space="preserve"> (</w:t>
      </w:r>
      <w:r>
        <w:rPr>
          <w:color w:val="636363"/>
          <w:sz w:val="20"/>
          <w:szCs w:val="20"/>
        </w:rPr>
        <w:t>Dept. of Civil, Chemical, Environmental and Materials Engineering (DICAM), University of Bologna, Italy</w:t>
      </w:r>
      <w:r>
        <w:t>)</w:t>
      </w:r>
      <w:r>
        <w:t xml:space="preserve">, </w:t>
      </w:r>
      <w:r>
        <w:t>Gabriele Bitelli</w:t>
      </w:r>
      <w:r>
        <w:t xml:space="preserve"> (</w:t>
      </w:r>
      <w:r>
        <w:rPr>
          <w:color w:val="636363"/>
          <w:sz w:val="20"/>
          <w:szCs w:val="20"/>
        </w:rPr>
        <w:t>Dept. of Civil, Chemical, Environmental and Materials Engineering (DICAM), University of Bologna, Italy</w:t>
      </w:r>
      <w:r>
        <w:t>)</w:t>
      </w:r>
      <w:r>
        <w:t xml:space="preserve">. </w:t>
      </w:r>
    </w:p>
    <w:p>
      <w:pPr>
        <w:pStyle w:val="Text"/>
      </w:pPr>
      <w:r>
        <w:t>This contribution presents an integrated geomatic workflow for the 3D documentation of a complex historical architecture, developed within a university teaching context. The case study is the San Salvatore ad Calchi church in Ravenna, traditionally associated with the so-called Theodoric Palace and currently interpreted as part of a stratified archaeological landscape. TLS, terrestrial and UAV photogrammetry, GNSS positioning and GIS-based processing were combined to obtain metrically reliable 3D and 2D products. This work further investigates the applicability of dynamic LiDAR SLAM mapping in a geometrically complex historical environment, where its operational advantages and accessibility make it a promising solution. The SLAM-derived dataset is compared with a static TLS acquisition used as ground truth, evaluating its metric capabilities. The experience was integrated into a Master’s-level Geomatics Engineering course, where students were involved in data acquisition, processing and visualization through an experiential learning approach.</w:t>
      </w:r>
    </w:p>
    <w:p>
      <w:pPr>
        <w:pStyle w:val="SubStyleBorder"/>
      </w:pPr>
      <w:bookmarkStart w:id="120" w:name="abs119"/>
      <w:r>
        <w:fldChar w:fldCharType="begin"/>
      </w:r>
      <w:r>
        <w:instrText xml:space="preserve">REF Index \h</w:instrText>
      </w:r>
      <w:r>
        <w:fldChar w:fldCharType="separate"/>
      </w:r>
      <w:r>
        <w:rPr>
          <w:color w:val="0000ff"/>
          <w:sz w:val="20"/>
          <w:szCs w:val="20"/>
        </w:rPr>
        <w:t>[8946]</w:t>
      </w:r>
      <w:r>
        <w:fldChar w:fldCharType="end"/>
      </w:r>
      <w:bookmarkEnd w:id="120"/>
      <w:r>
        <w:t xml:space="preserve"> </w:t>
      </w:r>
      <w:r>
        <w:rPr>
          <w:i/>
          <w:b/>
        </w:rPr>
        <w:t>A Multi-Sensor Approach to the Study of the Reculver Towers and Roman Fort (England): Geophysics, Remote Sensing and Digital Reconstruction</w:t>
      </w:r>
    </w:p>
    <w:p>
      <w:pPr>
        <w:pStyle w:val="Authors"/>
      </w:pPr>
      <w:r>
        <w:t>Sebastiano D'Amico</w:t>
      </w:r>
      <w:r>
        <w:t xml:space="preserve"> (</w:t>
      </w:r>
      <w:r>
        <w:rPr>
          <w:color w:val="636363"/>
          <w:sz w:val="20"/>
          <w:szCs w:val="20"/>
        </w:rPr>
        <w:t>Department of Geosciences, University of Malta</w:t>
      </w:r>
      <w:r>
        <w:t>)</w:t>
      </w:r>
      <w:r>
        <w:t xml:space="preserve">, </w:t>
      </w:r>
      <w:r>
        <w:t>Atiyeh Ardakanian</w:t>
      </w:r>
      <w:r>
        <w:t xml:space="preserve"> (</w:t>
      </w:r>
      <w:r>
        <w:rPr>
          <w:color w:val="636363"/>
          <w:sz w:val="20"/>
          <w:szCs w:val="20"/>
        </w:rPr>
        <w:t>School of Computing and Engineering, University of West London, London, United Kingdom of Great Britain</w:t>
      </w:r>
      <w:r>
        <w:t>)</w:t>
      </w:r>
      <w:r>
        <w:t xml:space="preserve">, </w:t>
      </w:r>
      <w:r>
        <w:t>Ilaria Catapano</w:t>
      </w:r>
      <w:r>
        <w:t xml:space="preserve"> (</w:t>
      </w:r>
      <w:r>
        <w:rPr>
          <w:color w:val="636363"/>
          <w:sz w:val="20"/>
          <w:szCs w:val="20"/>
        </w:rPr>
        <w:t>CNR</w:t>
      </w:r>
      <w:r>
        <w:t>)</w:t>
      </w:r>
      <w:r>
        <w:t xml:space="preserve">, </w:t>
      </w:r>
      <w:r>
        <w:t>Emanuele Colica</w:t>
      </w:r>
      <w:r>
        <w:t xml:space="preserve"> (</w:t>
      </w:r>
      <w:r>
        <w:rPr>
          <w:color w:val="636363"/>
          <w:sz w:val="20"/>
          <w:szCs w:val="20"/>
        </w:rPr>
        <w:t>University of Malta</w:t>
      </w:r>
      <w:r>
        <w:t>)</w:t>
      </w:r>
      <w:r>
        <w:t xml:space="preserve">, </w:t>
      </w:r>
      <w:r>
        <w:t>David Daou</w:t>
      </w:r>
      <w:r>
        <w:t xml:space="preserve"> (</w:t>
      </w:r>
      <w:r>
        <w:rPr>
          <w:color w:val="636363"/>
          <w:sz w:val="20"/>
          <w:szCs w:val="20"/>
        </w:rPr>
        <w:t>Institute for Environment and Human Security, United Nations University (UNU-EHS), Bonn, Germany</w:t>
      </w:r>
      <w:r>
        <w:t>)</w:t>
      </w:r>
      <w:r>
        <w:t xml:space="preserve">, </w:t>
      </w:r>
      <w:r>
        <w:t>Delphina Darko</w:t>
      </w:r>
      <w:r>
        <w:t xml:space="preserve"> (</w:t>
      </w:r>
      <w:r>
        <w:rPr>
          <w:color w:val="636363"/>
          <w:sz w:val="20"/>
          <w:szCs w:val="20"/>
        </w:rPr>
        <w:t>School of Computing and Engineering, University of West London, London, United Kingdom of Great Britain</w:t>
      </w:r>
      <w:r>
        <w:t>)</w:t>
      </w:r>
      <w:r>
        <w:t xml:space="preserve">, </w:t>
      </w:r>
      <w:r>
        <w:t>Luciano Galone</w:t>
      </w:r>
      <w:r>
        <w:t xml:space="preserve"> (</w:t>
      </w:r>
      <w:r>
        <w:rPr>
          <w:color w:val="636363"/>
          <w:sz w:val="20"/>
          <w:szCs w:val="20"/>
        </w:rPr>
        <w:t>University of Malta</w:t>
      </w:r>
      <w:r>
        <w:t>)</w:t>
      </w:r>
      <w:r>
        <w:t xml:space="preserve">, </w:t>
      </w:r>
      <w:r>
        <w:t>Atif Mohammed Ghani</w:t>
      </w:r>
      <w:r>
        <w:t xml:space="preserve"> (</w:t>
      </w:r>
      <w:r>
        <w:rPr>
          <w:color w:val="636363"/>
          <w:sz w:val="20"/>
          <w:szCs w:val="20"/>
        </w:rPr>
        <w:t>Royal College of Art, School of Communication, London, United Kingdom of Great Britain</w:t>
      </w:r>
      <w:r>
        <w:t>)</w:t>
      </w:r>
      <w:r>
        <w:t xml:space="preserve">, </w:t>
      </w:r>
      <w:r>
        <w:t>Alba L'Astorina</w:t>
      </w:r>
      <w:r>
        <w:t xml:space="preserve"> (</w:t>
      </w:r>
      <w:r>
        <w:rPr>
          <w:color w:val="636363"/>
          <w:sz w:val="20"/>
          <w:szCs w:val="20"/>
        </w:rPr>
        <w:t>IREA CNR</w:t>
      </w:r>
      <w:r>
        <w:t>)</w:t>
      </w:r>
      <w:r>
        <w:t xml:space="preserve">, </w:t>
      </w:r>
      <w:r>
        <w:t>Neil Linford</w:t>
      </w:r>
      <w:r>
        <w:t xml:space="preserve"> (</w:t>
      </w:r>
      <w:r>
        <w:rPr>
          <w:color w:val="636363"/>
          <w:sz w:val="20"/>
          <w:szCs w:val="20"/>
        </w:rPr>
        <w:t>Historic England, Geophysics Team, Portsmouth, United Kingdom of Great Britain</w:t>
      </w:r>
      <w:r>
        <w:t>)</w:t>
      </w:r>
      <w:r>
        <w:t xml:space="preserve">, </w:t>
      </w:r>
      <w:r>
        <w:t>Moein Motavallizadeh Naeini</w:t>
      </w:r>
      <w:r>
        <w:t xml:space="preserve"> (</w:t>
      </w:r>
      <w:r>
        <w:rPr>
          <w:color w:val="636363"/>
          <w:sz w:val="20"/>
          <w:szCs w:val="20"/>
        </w:rPr>
        <w:t>School of Computing and Engineering, University of West London, London, United Kingdom of Great Britain</w:t>
      </w:r>
      <w:r>
        <w:t>)</w:t>
      </w:r>
      <w:r>
        <w:t xml:space="preserve">, </w:t>
      </w:r>
      <w:r>
        <w:t>Omar Abdillahi Osman</w:t>
      </w:r>
      <w:r>
        <w:t xml:space="preserve"> (</w:t>
      </w:r>
      <w:r>
        <w:rPr>
          <w:color w:val="636363"/>
          <w:sz w:val="20"/>
          <w:szCs w:val="20"/>
        </w:rPr>
        <w:t>School of Computing and Engineering, University of West London, London, United Kingdom of Great Britain</w:t>
      </w:r>
      <w:r>
        <w:t>)</w:t>
      </w:r>
      <w:r>
        <w:t xml:space="preserve">, </w:t>
      </w:r>
      <w:r>
        <w:t>Saeed Parnow</w:t>
      </w:r>
      <w:r>
        <w:t xml:space="preserve"> (</w:t>
      </w:r>
      <w:r>
        <w:rPr>
          <w:color w:val="636363"/>
          <w:sz w:val="20"/>
          <w:szCs w:val="20"/>
        </w:rPr>
        <w:t>School of Computing and Engineering, University of West London, London, United Kingdom of Great Britain</w:t>
      </w:r>
      <w:r>
        <w:t>)</w:t>
      </w:r>
      <w:r>
        <w:t xml:space="preserve">, </w:t>
      </w:r>
      <w:r>
        <w:t>Malte Ressim</w:t>
      </w:r>
      <w:r>
        <w:t xml:space="preserve"> (</w:t>
      </w:r>
      <w:r>
        <w:rPr>
          <w:color w:val="636363"/>
          <w:sz w:val="20"/>
          <w:szCs w:val="20"/>
        </w:rPr>
        <w:t>School of Computing and Engineering, University of West London, London, United Kingdom of Great Britain</w:t>
      </w:r>
      <w:r>
        <w:t>)</w:t>
      </w:r>
      <w:r>
        <w:t xml:space="preserve">, </w:t>
      </w:r>
      <w:r>
        <w:t>Tesfaye Tessema</w:t>
      </w:r>
      <w:r>
        <w:t xml:space="preserve"> (</w:t>
      </w:r>
      <w:r>
        <w:rPr>
          <w:color w:val="636363"/>
          <w:sz w:val="20"/>
          <w:szCs w:val="20"/>
        </w:rPr>
        <w:t>School of Computing and Engineering, University of West London, London, United Kingdom of Great Britain</w:t>
      </w:r>
      <w:r>
        <w:t>)</w:t>
      </w:r>
      <w:r>
        <w:t xml:space="preserve">, </w:t>
      </w:r>
      <w:r>
        <w:t>Fabio Tosti</w:t>
      </w:r>
      <w:r>
        <w:t xml:space="preserve"> (</w:t>
      </w:r>
      <w:r>
        <w:rPr>
          <w:color w:val="636363"/>
          <w:sz w:val="20"/>
          <w:szCs w:val="20"/>
        </w:rPr>
        <w:t>School of Computing and Engineering, University of West London, London, United Kingdom of Great Britain</w:t>
      </w:r>
      <w:r>
        <w:t>)</w:t>
      </w:r>
      <w:r>
        <w:t xml:space="preserve">. </w:t>
      </w:r>
    </w:p>
    <w:p>
      <w:pPr>
        <w:pStyle w:val="Text"/>
      </w:pPr>
      <w:r>
        <w:t>This paper presents the first results of the BLUE-HeArTS project, an interdisciplinary initiative aimed at investigating the Reculver Towers and Roman Fort (Kent, England) through the integration of geophysics, remote sensing, and proximity sensing techniques. The study combines Ground Penetrating Radar (GPR) and passive seismic methods to characterise subsurface stratigraphy, detect buried archaeological features, and assess the geotechnical conditions affecting the stability of the monument. Remote sensing data, including UAV-based photogrammetry and satellite imagery, provide high-resolution spatial information for documenting the surrounding coastal landscape and monitoring erosion processes. Proximity sensing techniques, such as terrestrial laser scanning and close-range imaging, enable detailed 3D reconstruction of the towers and the identification of structural deformations and weathering patterns. The integrated, non-invasive approach offers new insights into the archaeological context and conservation status of Reculver Towers, supporting heritage management and long-term monitoring of this highly vulnerable coastal site.</w:t>
      </w:r>
    </w:p>
    <w:p>
      <w:pPr>
        <w:pStyle w:val="SubStyleBorder"/>
      </w:pPr>
      <w:bookmarkStart w:id="121" w:name="abs120"/>
      <w:r>
        <w:fldChar w:fldCharType="begin"/>
      </w:r>
      <w:r>
        <w:instrText xml:space="preserve">REF Index \h</w:instrText>
      </w:r>
      <w:r>
        <w:fldChar w:fldCharType="separate"/>
      </w:r>
      <w:r>
        <w:rPr>
          <w:color w:val="0000ff"/>
          <w:sz w:val="20"/>
          <w:szCs w:val="20"/>
        </w:rPr>
        <w:t>[8964]</w:t>
      </w:r>
      <w:r>
        <w:fldChar w:fldCharType="end"/>
      </w:r>
      <w:bookmarkEnd w:id="121"/>
      <w:r>
        <w:t xml:space="preserve"> </w:t>
      </w:r>
      <w:r>
        <w:rPr>
          <w:i/>
          <w:b/>
        </w:rPr>
        <w:t>Structural assessment of a century concrete railway tunnel subjected to future urban development using in-situ characterization and Finite Element Modelling</w:t>
      </w:r>
    </w:p>
    <w:p>
      <w:pPr>
        <w:pStyle w:val="Authors"/>
      </w:pPr>
      <w:r>
        <w:t>Salvador Ivorra</w:t>
      </w:r>
      <w:r>
        <w:t xml:space="preserve"> (</w:t>
      </w:r>
      <w:r>
        <w:rPr>
          <w:color w:val="636363"/>
          <w:sz w:val="20"/>
          <w:szCs w:val="20"/>
        </w:rPr>
        <w:t>Universidad de Alicante</w:t>
      </w:r>
      <w:r>
        <w:t>)</w:t>
      </w:r>
      <w:r>
        <w:t xml:space="preserve">, </w:t>
      </w:r>
      <w:r>
        <w:t>Carlos Diez</w:t>
      </w:r>
      <w:r>
        <w:t xml:space="preserve"> (</w:t>
      </w:r>
      <w:r>
        <w:rPr>
          <w:color w:val="636363"/>
          <w:sz w:val="20"/>
          <w:szCs w:val="20"/>
        </w:rPr>
        <w:t>Universidad de Alicante</w:t>
      </w:r>
      <w:r>
        <w:t>)</w:t>
      </w:r>
      <w:r>
        <w:t xml:space="preserve">, </w:t>
      </w:r>
      <w:r>
        <w:t>Luis Estevan</w:t>
      </w:r>
      <w:r>
        <w:t xml:space="preserve"> (</w:t>
      </w:r>
      <w:r>
        <w:rPr>
          <w:color w:val="636363"/>
          <w:sz w:val="20"/>
          <w:szCs w:val="20"/>
        </w:rPr>
        <w:t>Universidad de Alicante</w:t>
      </w:r>
      <w:r>
        <w:t>)</w:t>
      </w:r>
      <w:r>
        <w:t xml:space="preserve">, </w:t>
      </w:r>
      <w:r>
        <w:t>Benjamin Torres</w:t>
      </w:r>
      <w:r>
        <w:t xml:space="preserve"> (</w:t>
      </w:r>
      <w:r>
        <w:rPr>
          <w:color w:val="636363"/>
          <w:sz w:val="20"/>
          <w:szCs w:val="20"/>
        </w:rPr>
        <w:t>Universidad de Alicante</w:t>
      </w:r>
      <w:r>
        <w:t>)</w:t>
      </w:r>
      <w:r>
        <w:t xml:space="preserve">. </w:t>
      </w:r>
    </w:p>
    <w:p>
      <w:pPr>
        <w:pStyle w:val="Text"/>
      </w:pPr>
      <w:r>
        <w:t>The assessment of existing underground structures subjected to new urban developments represents a significant challenge in civil engineering, particularly when dealing with historic infrastructures for which limited information is available. This paper presents the study of a mass concrete railway tunnel built in 1920 in Alcoy, Alicante (Spain), currently incorporated into a greenway, above which the construction of a five-storey residential building is planned. The adopted methodology combines in-situ inspection and characterization experimental tests, including endoscopic inspections, core extraction, and single and double flat-jack testing. The obtained parameters were incorporated into a finite element model to evaluate the current stress state and predict the structural response under future loading conditions. The results provide an objective basis for the verification of structural safety and support decision-making regarding the proposed urban development.</w:t>
      </w:r>
    </w:p>
    <w:p>
      <w:pPr>
        <w:pStyle w:val="SubStyleBorder"/>
      </w:pPr>
      <w:bookmarkStart w:id="122" w:name="abs121"/>
      <w:r>
        <w:fldChar w:fldCharType="begin"/>
      </w:r>
      <w:r>
        <w:instrText xml:space="preserve">REF Index \h</w:instrText>
      </w:r>
      <w:r>
        <w:fldChar w:fldCharType="separate"/>
      </w:r>
      <w:r>
        <w:rPr>
          <w:color w:val="0000ff"/>
          <w:sz w:val="20"/>
          <w:szCs w:val="20"/>
        </w:rPr>
        <w:t>[9017]</w:t>
      </w:r>
      <w:r>
        <w:fldChar w:fldCharType="end"/>
      </w:r>
      <w:bookmarkEnd w:id="122"/>
      <w:r>
        <w:t xml:space="preserve"> </w:t>
      </w:r>
      <w:r>
        <w:rPr>
          <w:i/>
          <w:b/>
        </w:rPr>
        <w:t>Vernacular Construction Systems in the Portuguese EUROACE Region</w:t>
      </w:r>
    </w:p>
    <w:p>
      <w:pPr>
        <w:pStyle w:val="Authors"/>
      </w:pPr>
      <w:r>
        <w:t>M.ª Teresa Pinheiro-Alves</w:t>
      </w:r>
      <w:r>
        <w:t xml:space="preserve"> (</w:t>
      </w:r>
      <w:r>
        <w:rPr>
          <w:color w:val="636363"/>
          <w:sz w:val="20"/>
          <w:szCs w:val="20"/>
        </w:rPr>
        <w:t>Universidade de Évora, Escola de Artes, Évora, Portugal</w:t>
      </w:r>
      <w:r>
        <w:t>)</w:t>
      </w:r>
      <w:r>
        <w:t xml:space="preserve">, </w:t>
      </w:r>
      <w:r>
        <w:t>João Soares</w:t>
      </w:r>
      <w:r>
        <w:t xml:space="preserve"> (</w:t>
      </w:r>
      <w:r>
        <w:rPr>
          <w:color w:val="636363"/>
          <w:sz w:val="20"/>
          <w:szCs w:val="20"/>
        </w:rPr>
        <w:t>Universidade de Évora, Escola de Artes, Évora, Portugal</w:t>
      </w:r>
      <w:r>
        <w:t>)</w:t>
      </w:r>
      <w:r>
        <w:t xml:space="preserve">. </w:t>
      </w:r>
    </w:p>
    <w:p>
      <w:pPr>
        <w:pStyle w:val="Text"/>
      </w:pPr>
      <w:r>
        <w:t>The Portuguese EUROACE region contains a rich and diverse stock of vernacular buildings whose construction systems reflect centuries of adaptation to local climatic conditions, geological resources and socio-economic contexts. Despite their cultural and environmental significance, these buildings are increasingly threatened by depopulation, ageing, inadequate maintenance practices and the progressive loss of traditional construction knowledge. This work presents a systematic characterisation of the principal vernacular construction systems identified throughout the Portuguese EUROACE territory, providing a structured framework to support their documentation, conservation and sustainable rehabilitation. The five most representative wall typologies—limestone masonry, rammed earth, schist masonry, granite masonry and adobe construction—were selected following bibliographic research and field surveys. Their structural configuration, material composition, constructive solutions, climatic adaptation strategies and thermal behaviour were comparatively analysed. The results demonstrate that these traditional systems share several passive environmental strategies, including high thermal inertia, reduced window-to-wall ratios and extensive use of locally available natural materials, while exhibiting significant regional differences associated with geology and climate. The proposed classification contributes to preserving traditional construction knowledge and provides technical support for future interventions aimed at improving the energy performance of historic buildings without compromising their architectural authenticity.</w:t>
      </w:r>
    </w:p>
    <w:p>
      <w:pPr>
        <w:pStyle w:val="SubStyleBorder"/>
      </w:pPr>
      <w:bookmarkStart w:id="123" w:name="abs122"/>
      <w:r>
        <w:fldChar w:fldCharType="begin"/>
      </w:r>
      <w:r>
        <w:instrText xml:space="preserve">REF Index \h</w:instrText>
      </w:r>
      <w:r>
        <w:fldChar w:fldCharType="separate"/>
      </w:r>
      <w:r>
        <w:rPr>
          <w:color w:val="0000ff"/>
          <w:sz w:val="20"/>
          <w:szCs w:val="20"/>
        </w:rPr>
        <w:t>[9052]</w:t>
      </w:r>
      <w:r>
        <w:fldChar w:fldCharType="end"/>
      </w:r>
      <w:bookmarkEnd w:id="123"/>
      <w:r>
        <w:t xml:space="preserve"> </w:t>
      </w:r>
      <w:r>
        <w:rPr>
          <w:i/>
          <w:b/>
        </w:rPr>
        <w:t>From Stratigraphy to Virtual Tour: A Digital Workflow for the Archaeological Site of Mersin-Yumuktepe</w:t>
      </w:r>
    </w:p>
    <w:p>
      <w:pPr>
        <w:pStyle w:val="Authors"/>
      </w:pPr>
      <w:r>
        <w:t>Francesco Colace</w:t>
      </w:r>
      <w:r>
        <w:t xml:space="preserve"> (</w:t>
      </w:r>
      <w:r>
        <w:rPr>
          <w:color w:val="636363"/>
          <w:sz w:val="20"/>
          <w:szCs w:val="20"/>
        </w:rPr>
        <w:t>Università degli studi di Salerno</w:t>
      </w:r>
      <w:r>
        <w:t>)</w:t>
      </w:r>
      <w:r>
        <w:t xml:space="preserve">, </w:t>
      </w:r>
      <w:r>
        <w:t>Angelo Lorusso</w:t>
      </w:r>
      <w:r>
        <w:t xml:space="preserve"> (</w:t>
      </w:r>
      <w:r>
        <w:rPr>
          <w:color w:val="636363"/>
          <w:sz w:val="20"/>
          <w:szCs w:val="20"/>
        </w:rPr>
        <w:t>Pegaso University</w:t>
      </w:r>
      <w:r>
        <w:t>)</w:t>
      </w:r>
      <w:r>
        <w:t xml:space="preserve">, </w:t>
      </w:r>
      <w:r>
        <w:t>Giulio Palumbi</w:t>
      </w:r>
      <w:r>
        <w:t xml:space="preserve"> (</w:t>
      </w:r>
      <w:r>
        <w:rPr>
          <w:color w:val="636363"/>
          <w:sz w:val="20"/>
          <w:szCs w:val="20"/>
        </w:rPr>
        <w:t>University of Bari</w:t>
      </w:r>
      <w:r>
        <w:t>)</w:t>
      </w:r>
      <w:r>
        <w:t xml:space="preserve">, </w:t>
      </w:r>
      <w:r>
        <w:t>Michele Pellegrino</w:t>
      </w:r>
      <w:r>
        <w:t xml:space="preserve"> (</w:t>
      </w:r>
      <w:r>
        <w:rPr>
          <w:color w:val="636363"/>
          <w:sz w:val="20"/>
          <w:szCs w:val="20"/>
        </w:rPr>
        <w:t>Università degli Studi di Salerno</w:t>
      </w:r>
      <w:r>
        <w:t>)</w:t>
      </w:r>
      <w:r>
        <w:t xml:space="preserve">, </w:t>
      </w:r>
      <w:r>
        <w:t>Domenico Santaniello</w:t>
      </w:r>
      <w:r>
        <w:t xml:space="preserve"> (</w:t>
      </w:r>
      <w:r>
        <w:rPr>
          <w:color w:val="636363"/>
          <w:sz w:val="20"/>
          <w:szCs w:val="20"/>
        </w:rPr>
        <w:t>University of Salerno</w:t>
      </w:r>
      <w:r>
        <w:t>)</w:t>
      </w:r>
      <w:r>
        <w:t xml:space="preserve">, </w:t>
      </w:r>
      <w:r>
        <w:t>Pietro Giuseppe Strollo</w:t>
      </w:r>
      <w:r>
        <w:t xml:space="preserve"> (</w:t>
      </w:r>
      <w:r>
        <w:rPr>
          <w:color w:val="636363"/>
          <w:sz w:val="20"/>
          <w:szCs w:val="20"/>
        </w:rPr>
        <w:t>University of Salerno</w:t>
      </w:r>
      <w:r>
        <w:t>)</w:t>
      </w:r>
      <w:r>
        <w:t xml:space="preserve">. </w:t>
      </w:r>
    </w:p>
    <w:p>
      <w:pPr>
        <w:pStyle w:val="Text"/>
      </w:pPr>
      <w:r>
        <w:t>The contribution presents the development of a virtual tour for the archaeological site of Yumuktepe, in Mersin, a multi-layered tell characterized by a long sequence of occupation from the Neolithic to the medieval period. The objective is to transform a complex archaeological context into a navigable digital environment able to support documentation, interpretation, and public communication. The workflow integrates 360° panoramic images captured from the ground, aerial documentation via drone, photogrammetric surveying, three-dimensional modelling, and the construction of interactive paths. Particular attention is given to the relationship between visible evidence, stratigraphic complexity, and chronological contexts. Through panoramic navigation, aerial views, 3D resources, and contextual content, the virtual tour proposes a scalable model to make archaeological complexity accessible, dynamic, and scientifically controlled.</w:t>
      </w:r>
    </w:p>
    <w:p>
      <w:pPr>
        <w:pStyle w:val="SubStyleBorder"/>
      </w:pPr>
      <w:bookmarkStart w:id="124" w:name="abs123"/>
      <w:r>
        <w:fldChar w:fldCharType="begin"/>
      </w:r>
      <w:r>
        <w:instrText xml:space="preserve">REF Index \h</w:instrText>
      </w:r>
      <w:r>
        <w:fldChar w:fldCharType="separate"/>
      </w:r>
      <w:r>
        <w:rPr>
          <w:color w:val="0000ff"/>
          <w:sz w:val="20"/>
          <w:szCs w:val="20"/>
        </w:rPr>
        <w:t>[9103]</w:t>
      </w:r>
      <w:r>
        <w:fldChar w:fldCharType="end"/>
      </w:r>
      <w:bookmarkEnd w:id="124"/>
      <w:r>
        <w:t xml:space="preserve"> </w:t>
      </w:r>
      <w:r>
        <w:rPr>
          <w:i/>
          <w:b/>
        </w:rPr>
        <w:t>Measuring the Intangible: A Metrological Framework for Audio Tape Preservation</w:t>
      </w:r>
    </w:p>
    <w:p>
      <w:pPr>
        <w:pStyle w:val="Authors"/>
      </w:pPr>
      <w:r>
        <w:t>Niccolò Pretto</w:t>
      </w:r>
      <w:r>
        <w:t xml:space="preserve"> (</w:t>
      </w:r>
      <w:r>
        <w:rPr>
          <w:color w:val="636363"/>
          <w:sz w:val="20"/>
          <w:szCs w:val="20"/>
        </w:rPr>
        <w:t>Free University of Bozen-Bolzano</w:t>
      </w:r>
      <w:r>
        <w:t>)</w:t>
      </w:r>
      <w:r>
        <w:t xml:space="preserve">, </w:t>
      </w:r>
      <w:r>
        <w:t>Matteo Spanio</w:t>
      </w:r>
      <w:r>
        <w:t xml:space="preserve"> (</w:t>
      </w:r>
      <w:r>
        <w:rPr>
          <w:color w:val="636363"/>
          <w:sz w:val="20"/>
          <w:szCs w:val="20"/>
        </w:rPr>
        <w:t>Centro di Sonologia Computazionale (CSC), Department of Information Engineering, University of Padua</w:t>
      </w:r>
      <w:r>
        <w:t>)</w:t>
      </w:r>
      <w:r>
        <w:t xml:space="preserve">, </w:t>
      </w:r>
      <w:r>
        <w:t>Alessandro Russo</w:t>
      </w:r>
      <w:r>
        <w:t xml:space="preserve"> (</w:t>
      </w:r>
      <w:r>
        <w:rPr>
          <w:color w:val="636363"/>
          <w:sz w:val="20"/>
          <w:szCs w:val="20"/>
        </w:rPr>
        <w:t>Národní filmový archiv, Prague</w:t>
      </w:r>
      <w:r>
        <w:t>)</w:t>
      </w:r>
      <w:r>
        <w:t xml:space="preserve">, </w:t>
      </w:r>
      <w:r>
        <w:t>Sergio Canazza</w:t>
      </w:r>
      <w:r>
        <w:t xml:space="preserve"> (</w:t>
      </w:r>
      <w:r>
        <w:rPr>
          <w:color w:val="636363"/>
          <w:sz w:val="20"/>
          <w:szCs w:val="20"/>
        </w:rPr>
        <w:t>Centro di Sonologia Computazionale (CSC), Department of Information Engineering, University of Padua</w:t>
      </w:r>
      <w:r>
        <w:t>)</w:t>
      </w:r>
      <w:r>
        <w:t xml:space="preserve">. </w:t>
      </w:r>
    </w:p>
    <w:p>
      <w:pPr>
        <w:pStyle w:val="Text"/>
      </w:pPr>
      <w:r>
        <w:t>Audio magnetic tapes have generally proven highly resilient over time. However, as analog media, after several decades they often exhibit degradation caused by unsuitable storage conditions or the deterioration of materials. Moreover, tapes were not only used for recording purposes, but also as creative tools for music production, and in some cases even functioned as musical scores. The detection and classification of these aspects are essential for the study, preservation, and possible restoration of audio documents, but are highly time-consuming tasks and prone to human error. Artificial intelligence provides valuable support in detecting and classifying such anomalies, but a formalized methodology is necessary to ensure reliable results and to encourage the development of new technologies. For this reason, the IEEE/MPAI Audio Recording Preservation standard was developed. This paper presents the standard from a metrological perspective.</w:t>
      </w:r>
    </w:p>
    <w:p>
      <w:pPr>
        <w:pStyle w:val="SubStyleBorder"/>
      </w:pPr>
      <w:bookmarkStart w:id="125" w:name="abs124"/>
      <w:r>
        <w:fldChar w:fldCharType="begin"/>
      </w:r>
      <w:r>
        <w:instrText xml:space="preserve">REF Index \h</w:instrText>
      </w:r>
      <w:r>
        <w:fldChar w:fldCharType="separate"/>
      </w:r>
      <w:r>
        <w:rPr>
          <w:color w:val="0000ff"/>
          <w:sz w:val="20"/>
          <w:szCs w:val="20"/>
        </w:rPr>
        <w:t>[9107]</w:t>
      </w:r>
      <w:r>
        <w:fldChar w:fldCharType="end"/>
      </w:r>
      <w:bookmarkEnd w:id="125"/>
      <w:r>
        <w:t xml:space="preserve"> </w:t>
      </w:r>
      <w:r>
        <w:rPr>
          <w:i/>
          <w:b/>
        </w:rPr>
        <w:t>Integrating H-BIM and Multi-Hazard information for Museum Artwork Protection: the Museo Marino Marini Case Study</w:t>
      </w:r>
    </w:p>
    <w:p>
      <w:pPr>
        <w:pStyle w:val="Authors"/>
      </w:pPr>
      <w:r>
        <w:t>Pietro Meriggi</w:t>
      </w:r>
      <w:r>
        <w:t xml:space="preserve"> (</w:t>
      </w:r>
      <w:r>
        <w:rPr>
          <w:color w:val="636363"/>
          <w:sz w:val="20"/>
          <w:szCs w:val="20"/>
        </w:rPr>
        <w:t>Roma Tre University - Department of Civil, Computer Science and Aeronautical Technologies Engineering</w:t>
      </w:r>
      <w:r>
        <w:t>)</w:t>
      </w:r>
      <w:r>
        <w:t xml:space="preserve">, </w:t>
      </w:r>
      <w:r>
        <w:t>Luca Bianchini Ciampoli</w:t>
      </w:r>
      <w:r>
        <w:t xml:space="preserve"> (</w:t>
      </w:r>
      <w:r>
        <w:rPr>
          <w:color w:val="636363"/>
          <w:sz w:val="20"/>
          <w:szCs w:val="20"/>
        </w:rPr>
        <w:t>Roma Tre University - Department of Civil, Computer Science and Aeronautical Technologies Engineering</w:t>
      </w:r>
      <w:r>
        <w:t>)</w:t>
      </w:r>
      <w:r>
        <w:t xml:space="preserve">, </w:t>
      </w:r>
      <w:r>
        <w:t>Antonino Maria Marra</w:t>
      </w:r>
      <w:r>
        <w:t xml:space="preserve"> (</w:t>
      </w:r>
      <w:r>
        <w:rPr>
          <w:color w:val="636363"/>
          <w:sz w:val="20"/>
          <w:szCs w:val="20"/>
        </w:rPr>
        <w:t>University of Firenze – Department of Architecture</w:t>
      </w:r>
      <w:r>
        <w:t>)</w:t>
      </w:r>
      <w:r>
        <w:t xml:space="preserve">, </w:t>
      </w:r>
      <w:r>
        <w:t>Mario De Stefano</w:t>
      </w:r>
      <w:r>
        <w:t xml:space="preserve"> (</w:t>
      </w:r>
      <w:r>
        <w:rPr>
          <w:color w:val="636363"/>
          <w:sz w:val="20"/>
          <w:szCs w:val="20"/>
        </w:rPr>
        <w:t>University of Firenze – Department of Architecture</w:t>
      </w:r>
      <w:r>
        <w:t>)</w:t>
      </w:r>
      <w:r>
        <w:t xml:space="preserve">, </w:t>
      </w:r>
      <w:r>
        <w:t>Fabio Castelli</w:t>
      </w:r>
      <w:r>
        <w:t xml:space="preserve"> (</w:t>
      </w:r>
      <w:r>
        <w:rPr>
          <w:color w:val="636363"/>
          <w:sz w:val="20"/>
          <w:szCs w:val="20"/>
        </w:rPr>
        <w:t>University of Firenze – Department of Civil and Environmental Engineering</w:t>
      </w:r>
      <w:r>
        <w:t>)</w:t>
      </w:r>
      <w:r>
        <w:t xml:space="preserve">, </w:t>
      </w:r>
      <w:r>
        <w:t>Chiara Arrighi</w:t>
      </w:r>
      <w:r>
        <w:t xml:space="preserve"> (</w:t>
      </w:r>
      <w:r>
        <w:rPr>
          <w:color w:val="636363"/>
          <w:sz w:val="20"/>
          <w:szCs w:val="20"/>
        </w:rPr>
        <w:t>University of Firenze – Department of Civil and Environmental Engineering</w:t>
      </w:r>
      <w:r>
        <w:t>)</w:t>
      </w:r>
      <w:r>
        <w:t xml:space="preserve">. </w:t>
      </w:r>
    </w:p>
    <w:p>
      <w:pPr>
        <w:pStyle w:val="Text"/>
      </w:pPr>
      <w:r>
        <w:t>The paper presents a digital methodology aimed at supporting the risk-informed management and placement of artworks within museum environments. The approach integrates Heritage Building Information Modelling (H-BIM) with multi-hazard analyses, focusing on seismic and hydraulic risks, to assess the exposure of paintings and sculptures within complex historical buildings. The proposed system enables the spatial correlation between artworks and hazard levels, supporting decision-making processes for their optimal allocation. The methodology is applied to the Museo Marino Marini, where the presence of underground exhibition spaces significantly increases vulnerability to flooding. Results demonstrate how the integration of multi-risk data within a digital environment can identify critical areas and suggest safer alternative locations for artworks. The study highlights the potential of H-BIM-based tools in enhancing preventive conservation strategies and improving multi-risk resilience in museum contexts.</w:t>
      </w:r>
    </w:p>
    <w:p>
      <w:pPr>
        <w:pStyle w:val="SubStyleBorder"/>
      </w:pPr>
      <w:bookmarkStart w:id="126" w:name="abs125"/>
      <w:r>
        <w:fldChar w:fldCharType="begin"/>
      </w:r>
      <w:r>
        <w:instrText xml:space="preserve">REF Index \h</w:instrText>
      </w:r>
      <w:r>
        <w:fldChar w:fldCharType="separate"/>
      </w:r>
      <w:r>
        <w:rPr>
          <w:color w:val="0000ff"/>
          <w:sz w:val="20"/>
          <w:szCs w:val="20"/>
        </w:rPr>
        <w:t>[9201]</w:t>
      </w:r>
      <w:r>
        <w:fldChar w:fldCharType="end"/>
      </w:r>
      <w:bookmarkEnd w:id="126"/>
      <w:r>
        <w:t xml:space="preserve"> </w:t>
      </w:r>
      <w:r>
        <w:rPr>
          <w:i/>
          <w:b/>
        </w:rPr>
        <w:t>A metrological reference model for vibro-acoustic analysis of ancient Greek theatres</w:t>
      </w:r>
    </w:p>
    <w:p>
      <w:pPr>
        <w:pStyle w:val="Authors"/>
      </w:pPr>
      <w:r>
        <w:t>Marco Casazza</w:t>
      </w:r>
      <w:r>
        <w:t xml:space="preserve"> (</w:t>
      </w:r>
      <w:r>
        <w:rPr>
          <w:color w:val="636363"/>
          <w:sz w:val="20"/>
          <w:szCs w:val="20"/>
        </w:rPr>
        <w:t>Università degli Studi di Salerno</w:t>
      </w:r>
      <w:r>
        <w:t>)</w:t>
      </w:r>
      <w:r>
        <w:t xml:space="preserve">, </w:t>
      </w:r>
      <w:r>
        <w:t>Fabrizio Barone</w:t>
      </w:r>
      <w:r>
        <w:t xml:space="preserve"> (</w:t>
      </w:r>
      <w:r>
        <w:rPr>
          <w:color w:val="636363"/>
          <w:sz w:val="20"/>
          <w:szCs w:val="20"/>
        </w:rPr>
        <w:t>University of Salerno</w:t>
      </w:r>
      <w:r>
        <w:t>)</w:t>
      </w:r>
      <w:r>
        <w:t xml:space="preserve">. </w:t>
      </w:r>
    </w:p>
    <w:p>
      <w:pPr>
        <w:pStyle w:val="Text"/>
      </w:pPr>
      <w:r>
        <w:t>This paper presents a metrological reference approach for the vibro-acoustic analysis of ancient Greek theatres. The study investigates whether recurrent spectral patterns can emerge from the geometrical organization of the cavea, considered as an open acoustic domain. A common simplified modelling framework is applied to representative theatre geometries to analyse modal density, spectral depletion and clustering across infrasonic, audible, speech-related and musical frequency ranges. The results indicate a dense infrasonic quasi-modal background, a systematically lower modal density in the audible range, and recurrent spectral concentrations in the lower audible range and around 0.9–1.0 kHz. A complementary geometrical analysis indicates that some construction parameters behave as comparatively stable local modules, whereas global scale and seating slope remain site-dependent design variables. Sensitivity analysis further shows that variations in seating geometry can significantly modify source–cavea path geometry and orchestra-reflection conditions. These findings support the use of dimensionless geometrical and spectral descriptors for comparative metrological analyses of ancient performance spaces. The framework does not imply intentional acoustic optimization, but provides repeatable indicators for investigating the coupled geometrical, constructive and vibro-acoustic behaviour of ancient theatres</w:t>
      </w:r>
    </w:p>
    <w:p>
      <w:pPr>
        <w:pStyle w:val="SubStyleBorder"/>
      </w:pPr>
      <w:bookmarkStart w:id="127" w:name="abs126"/>
      <w:r>
        <w:fldChar w:fldCharType="begin"/>
      </w:r>
      <w:r>
        <w:instrText xml:space="preserve">REF Index \h</w:instrText>
      </w:r>
      <w:r>
        <w:fldChar w:fldCharType="separate"/>
      </w:r>
      <w:r>
        <w:rPr>
          <w:color w:val="0000ff"/>
          <w:sz w:val="20"/>
          <w:szCs w:val="20"/>
        </w:rPr>
        <w:t>[9270]</w:t>
      </w:r>
      <w:r>
        <w:fldChar w:fldCharType="end"/>
      </w:r>
      <w:bookmarkEnd w:id="127"/>
      <w:r>
        <w:t xml:space="preserve"> </w:t>
      </w:r>
      <w:r>
        <w:rPr>
          <w:i/>
          <w:b/>
        </w:rPr>
        <w:t>From Totora Reeds to Territory: Deep Learning-Based Segmentation and Expansion Analysis of the Uros Floating Islands, Lake Titicaca</w:t>
      </w:r>
    </w:p>
    <w:p>
      <w:pPr>
        <w:pStyle w:val="Authors"/>
      </w:pPr>
      <w:r>
        <w:t>Francisco Leon</w:t>
      </w:r>
      <w:r>
        <w:t xml:space="preserve"> (</w:t>
      </w:r>
      <w:r>
        <w:rPr>
          <w:color w:val="636363"/>
          <w:sz w:val="20"/>
          <w:szCs w:val="20"/>
        </w:rPr>
        <w:t>Universidad Continental</w:t>
      </w:r>
      <w:r>
        <w:t>)</w:t>
      </w:r>
      <w:r>
        <w:t xml:space="preserve">, </w:t>
      </w:r>
      <w:r>
        <w:t>Cesar Peralta</w:t>
      </w:r>
      <w:r>
        <w:t xml:space="preserve"> (</w:t>
      </w:r>
      <w:r>
        <w:rPr>
          <w:color w:val="636363"/>
          <w:sz w:val="20"/>
          <w:szCs w:val="20"/>
        </w:rPr>
        <w:t>Instituto del Mar del Perú, Laboratorio Continental de Puno, Puno, Perú</w:t>
      </w:r>
      <w:r>
        <w:t>)</w:t>
      </w:r>
      <w:r>
        <w:t xml:space="preserve">, </w:t>
      </w:r>
      <w:r>
        <w:t>Gabriel Nina</w:t>
      </w:r>
      <w:r>
        <w:t xml:space="preserve"> (</w:t>
      </w:r>
      <w:r>
        <w:rPr>
          <w:color w:val="636363"/>
          <w:sz w:val="20"/>
          <w:szCs w:val="20"/>
        </w:rPr>
        <w:t>Universidad Continental</w:t>
      </w:r>
      <w:r>
        <w:t>)</w:t>
      </w:r>
      <w:r>
        <w:t xml:space="preserve">, </w:t>
      </w:r>
      <w:r>
        <w:t>Javier Jaimes</w:t>
      </w:r>
      <w:r>
        <w:t xml:space="preserve"> (</w:t>
      </w:r>
      <w:r>
        <w:rPr>
          <w:color w:val="636363"/>
          <w:sz w:val="20"/>
          <w:szCs w:val="20"/>
        </w:rPr>
        <w:t>Pontificia Universidad Católica del Perú, Lima, Perú</w:t>
      </w:r>
      <w:r>
        <w:t>)</w:t>
      </w:r>
      <w:r>
        <w:t xml:space="preserve">, </w:t>
      </w:r>
      <w:r>
        <w:t>Miguel Chicchon</w:t>
      </w:r>
      <w:r>
        <w:t xml:space="preserve"> (</w:t>
      </w:r>
      <w:r>
        <w:rPr>
          <w:color w:val="636363"/>
          <w:sz w:val="20"/>
          <w:szCs w:val="20"/>
        </w:rPr>
        <w:t>Universidad a Distancia de Madrid (UDIMA), Madrid, España</w:t>
      </w:r>
      <w:r>
        <w:t>)</w:t>
      </w:r>
      <w:r>
        <w:t xml:space="preserve">. </w:t>
      </w:r>
    </w:p>
    <w:p>
      <w:pPr>
        <w:pStyle w:val="Text"/>
      </w:pPr>
      <w:r>
        <w:t>The floating islands of the Uros people on Lake Titicaca constitute a living cultural landscape whose spatial configuration has continuously evolved
in response to community practices, tourism growth, and environmental pressure. Despite this dynamism, and its recognition as Peruvian Cultural Heritage of
the Nation, no systematic, spatially explicit record documents how the islands have expanded over the past decades. This study addresses that gap by reconstructing
the spatial evolution of the Uros floating-island system in Puno Bay using multitemporal very-highresolution (0.3 m) satellite imagery and deep learningbased
semantic segmentation. A SegFormer architecture with a DinoV3 encoder was trained on manually annotated island polygons and evaluated using precision, recall, and the Dice coefficient, achieving 0.9558 and 0.9350 on validation and independent test partitions, respectively. The trained model was applied to satellite imagery from 2013 and 2022 to delineate island extent and, under a monotonic growth assumption, reconstruct cumulative expansion over the decade. Results demonstrate that deep learning-based segmentation of VHR imagery provides a reliable and scalable
tool for monitoring non-monumental, living cultural landscapes, extending the applicability of methods previously validated on Peruvian archaeological sites. The
resulting spatial baseline supports heritage conservation, territorial planning, and long-term monitoring of anthropogenic pressure on the Uros floating islands of
Lake Titicaca.</w:t>
      </w:r>
    </w:p>
    <w:p>
      <w:pPr>
        <w:pStyle w:val="SubStyleBorder"/>
      </w:pPr>
      <w:bookmarkStart w:id="128" w:name="abs127"/>
      <w:r>
        <w:fldChar w:fldCharType="begin"/>
      </w:r>
      <w:r>
        <w:instrText xml:space="preserve">REF Index \h</w:instrText>
      </w:r>
      <w:r>
        <w:fldChar w:fldCharType="separate"/>
      </w:r>
      <w:r>
        <w:rPr>
          <w:color w:val="0000ff"/>
          <w:sz w:val="20"/>
          <w:szCs w:val="20"/>
        </w:rPr>
        <w:t>[9493]</w:t>
      </w:r>
      <w:r>
        <w:fldChar w:fldCharType="end"/>
      </w:r>
      <w:bookmarkEnd w:id="128"/>
      <w:r>
        <w:t xml:space="preserve"> </w:t>
      </w:r>
      <w:r>
        <w:rPr>
          <w:i/>
          <w:b/>
        </w:rPr>
        <w:t>Assessment of Cracked Masonry Walls in a Historic Church based on Low-Cost LiDAR Sensor and GPR Surveys</w:t>
      </w:r>
    </w:p>
    <w:p>
      <w:pPr>
        <w:pStyle w:val="Authors"/>
      </w:pPr>
      <w:r>
        <w:t>Joanna Janicka</w:t>
      </w:r>
      <w:r>
        <w:t xml:space="preserve"> (</w:t>
      </w:r>
      <w:r>
        <w:rPr>
          <w:color w:val="636363"/>
          <w:sz w:val="20"/>
          <w:szCs w:val="20"/>
        </w:rPr>
        <w:t>University of Warmia and Mazury in Olsztyn</w:t>
      </w:r>
      <w:r>
        <w:t>)</w:t>
      </w:r>
      <w:r>
        <w:t xml:space="preserve">, </w:t>
      </w:r>
      <w:r>
        <w:t>Wioleta Blaszczak-Bak</w:t>
      </w:r>
      <w:r>
        <w:t xml:space="preserve"> (</w:t>
      </w:r>
      <w:r>
        <w:rPr>
          <w:color w:val="636363"/>
          <w:sz w:val="20"/>
          <w:szCs w:val="20"/>
        </w:rPr>
        <w:t>Institute of Geodesy</w:t>
      </w:r>
      <w:r>
        <w:t>)</w:t>
      </w:r>
      <w:r>
        <w:t xml:space="preserve">, </w:t>
      </w:r>
      <w:r>
        <w:t>Czeslaw Suchocki</w:t>
      </w:r>
      <w:r>
        <w:t xml:space="preserve"> (</w:t>
      </w:r>
      <w:r>
        <w:rPr>
          <w:color w:val="636363"/>
          <w:sz w:val="20"/>
          <w:szCs w:val="20"/>
        </w:rPr>
        <w:t>Koszalin University of Technology</w:t>
      </w:r>
      <w:r>
        <w:t>)</w:t>
      </w:r>
      <w:r>
        <w:t xml:space="preserve">. </w:t>
      </w:r>
    </w:p>
    <w:p>
      <w:pPr>
        <w:pStyle w:val="Text"/>
      </w:pPr>
      <w:r>
        <w:t>This paper presents a non-destructive investigation of cracked masonry walls in a 19th-century Neo-Gothic church using Ground Penetrating Radar (GPR) and a low-cost Light Detection and Ranging (LiDAR) sensor integrated in a smartphone (iPhone 14 Pro). The study focuses on detecting internal structural discontinuities associated with visible cracks beneath a window opening. GPR measurements were performed directly on the wall surface using a 500 MHz antenna, enabling high-resolution imaging of subsurface features. Complementary geometric data were acquired using a smartphone-based LiDAR sensor to document crack geometry and surface deformation. The integration of both datasets allows for the correlation between internal anomalies and visible damage. Particular attention is given to the metrological aspects of low-cost measurements, including accuracy, resolution, and limitations. The results demonstrate the potential of combining advanced geophysical methods with accessible mobile technologies for rapid diagnostics of historic masonry structures.</w:t>
      </w:r>
    </w:p>
    <w:p>
      <w:pPr>
        <w:pStyle w:val="SubStyleBorder"/>
      </w:pPr>
      <w:bookmarkStart w:id="129" w:name="abs128"/>
      <w:r>
        <w:fldChar w:fldCharType="begin"/>
      </w:r>
      <w:r>
        <w:instrText xml:space="preserve">REF Index \h</w:instrText>
      </w:r>
      <w:r>
        <w:fldChar w:fldCharType="separate"/>
      </w:r>
      <w:r>
        <w:rPr>
          <w:color w:val="0000ff"/>
          <w:sz w:val="20"/>
          <w:szCs w:val="20"/>
        </w:rPr>
        <w:t>[9515]</w:t>
      </w:r>
      <w:r>
        <w:fldChar w:fldCharType="end"/>
      </w:r>
      <w:bookmarkEnd w:id="129"/>
      <w:r>
        <w:t xml:space="preserve"> </w:t>
      </w:r>
      <w:r>
        <w:rPr>
          <w:i/>
          <w:b/>
        </w:rPr>
        <w:t>Metrological Performance of Environmental and Pollution Sensors for Proactive Archaeological Conservation: A perspective Review</w:t>
      </w:r>
    </w:p>
    <w:p>
      <w:pPr>
        <w:pStyle w:val="Authors"/>
      </w:pPr>
      <w:r>
        <w:t>Chiara Bencivenga</w:t>
      </w:r>
      <w:r>
        <w:t xml:space="preserve"> (</w:t>
      </w:r>
      <w:r>
        <w:rPr>
          <w:color w:val="636363"/>
          <w:sz w:val="20"/>
          <w:szCs w:val="20"/>
        </w:rPr>
        <w:t>La Sapienza University of Rome- DIMA</w:t>
      </w:r>
      <w:r>
        <w:t>)</w:t>
      </w:r>
      <w:r>
        <w:t xml:space="preserve">, </w:t>
      </w:r>
      <w:r>
        <w:t>Emanuele Rizzuto</w:t>
      </w:r>
      <w:r>
        <w:t xml:space="preserve"> (</w:t>
      </w:r>
      <w:r>
        <w:rPr>
          <w:color w:val="636363"/>
          <w:sz w:val="20"/>
          <w:szCs w:val="20"/>
        </w:rPr>
        <w:t>La Sapienza University of Rome- DIMA</w:t>
      </w:r>
      <w:r>
        <w:t>)</w:t>
      </w:r>
      <w:r>
        <w:t xml:space="preserve">, </w:t>
      </w:r>
      <w:r>
        <w:t>Eduardo Palermo</w:t>
      </w:r>
      <w:r>
        <w:t xml:space="preserve"> (</w:t>
      </w:r>
      <w:r>
        <w:rPr>
          <w:color w:val="636363"/>
          <w:sz w:val="20"/>
          <w:szCs w:val="20"/>
        </w:rPr>
        <w:t>La Sapienza University of Rome- DIMA</w:t>
      </w:r>
      <w:r>
        <w:t>)</w:t>
      </w:r>
      <w:r>
        <w:t xml:space="preserve">, </w:t>
      </w:r>
      <w:r>
        <w:t>Zaccaria Del Prete</w:t>
      </w:r>
      <w:r>
        <w:t xml:space="preserve"> (</w:t>
      </w:r>
      <w:r>
        <w:rPr>
          <w:color w:val="636363"/>
          <w:sz w:val="20"/>
          <w:szCs w:val="20"/>
        </w:rPr>
        <w:t>La Sapienza University of Rome- DIMA</w:t>
      </w:r>
      <w:r>
        <w:t>)</w:t>
      </w:r>
      <w:r>
        <w:t xml:space="preserve">, </w:t>
      </w:r>
      <w:r>
        <w:t>Livio D'Alvia</w:t>
      </w:r>
      <w:r>
        <w:t xml:space="preserve"> (</w:t>
      </w:r>
      <w:r>
        <w:rPr>
          <w:color w:val="636363"/>
          <w:sz w:val="20"/>
          <w:szCs w:val="20"/>
        </w:rPr>
        <w:t>La Sapienza University of Rome - BESSA</w:t>
      </w:r>
      <w:r>
        <w:t>)</w:t>
      </w:r>
      <w:r>
        <w:t xml:space="preserve">. </w:t>
      </w:r>
    </w:p>
    <w:p>
      <w:pPr>
        <w:pStyle w:val="Text"/>
      </w:pPr>
      <w:r>
        <w:t>This paper presents a critical and methodological review of the metrological performance of environmental and pollution monitoring systems employed for preventive conservation and proactive monitoring of archaeological and cultural heritage sites. The analysis examines the nominal operating ranges, field accuracy, technological integration, and instrumental limitations of thermo-hygrometric, mechanical, chemical, and particulate matter sensors, including both commercial transducers and custom imaging systems reported in recent scientific literature. Particular attention is devoted to the formalization of measurement uncertainty, instrumentation traceability, transducer cross-sensitivities, and the effects of temporal drift induced by harsh subsurface and microclimatic conditions.
Drawing on evidence from prominent heritage environments—including the Sistine Chapel, the Scrovegni Chapel, and fragile subterranean and structural assets—this work evaluates the reliability and robustness of current monitoring architectures across indoor and outdoor conservation contexts. The review further discusses the hardware and communication frameworks underpinning wireless sensor networks (WSNs), highlighting their role in enabling traceable, energy-efficient, and continuous monitoring strategies. The results provide a comprehensive framework for the design and deployment of advanced sensing infrastructures capable of supporting predictive conservation approaches and activating early-warning mechanisms before the onset of irreversible deterioration processes in historic structures and artworks.</w:t>
      </w:r>
    </w:p>
    <w:p>
      <w:pPr>
        <w:pStyle w:val="SubStyleBorder"/>
      </w:pPr>
      <w:bookmarkStart w:id="130" w:name="abs129"/>
      <w:r>
        <w:fldChar w:fldCharType="begin"/>
      </w:r>
      <w:r>
        <w:instrText xml:space="preserve">REF Index \h</w:instrText>
      </w:r>
      <w:r>
        <w:fldChar w:fldCharType="separate"/>
      </w:r>
      <w:r>
        <w:rPr>
          <w:color w:val="0000ff"/>
          <w:sz w:val="20"/>
          <w:szCs w:val="20"/>
        </w:rPr>
        <w:t>[9554]</w:t>
      </w:r>
      <w:r>
        <w:fldChar w:fldCharType="end"/>
      </w:r>
      <w:bookmarkEnd w:id="130"/>
      <w:r>
        <w:t xml:space="preserve"> </w:t>
      </w:r>
      <w:r>
        <w:rPr>
          <w:i/>
          <w:b/>
        </w:rPr>
        <w:t>Structural analysis of an early 1900s violin by X-ray tomography coupled with shearography</w:t>
      </w:r>
    </w:p>
    <w:p>
      <w:pPr>
        <w:pStyle w:val="Authors"/>
      </w:pPr>
      <w:r>
        <w:t>Matteo Bettuzzi</w:t>
      </w:r>
      <w:r>
        <w:t xml:space="preserve"> (</w:t>
      </w:r>
      <w:r>
        <w:rPr>
          <w:color w:val="636363"/>
          <w:sz w:val="20"/>
          <w:szCs w:val="20"/>
        </w:rPr>
        <w:t>University of Bologna, Department of Physics and Astronomy</w:t>
      </w:r>
      <w:r>
        <w:t>)</w:t>
      </w:r>
      <w:r>
        <w:t xml:space="preserve">, </w:t>
      </w:r>
      <w:r>
        <w:t>Maria Pia Morigi</w:t>
      </w:r>
      <w:r>
        <w:t xml:space="preserve"> (</w:t>
      </w:r>
      <w:r>
        <w:rPr>
          <w:color w:val="636363"/>
          <w:sz w:val="20"/>
          <w:szCs w:val="20"/>
        </w:rPr>
        <w:t>University of Bologna, Department of Physics and Astronomy</w:t>
      </w:r>
      <w:r>
        <w:t>)</w:t>
      </w:r>
      <w:r>
        <w:t xml:space="preserve">, </w:t>
      </w:r>
      <w:r>
        <w:t>Diego Colmenero Mir</w:t>
      </w:r>
      <w:r>
        <w:t xml:space="preserve"> (</w:t>
      </w:r>
      <w:r>
        <w:rPr>
          <w:color w:val="636363"/>
          <w:sz w:val="20"/>
          <w:szCs w:val="20"/>
        </w:rPr>
        <w:t>University of Bologna, Department of Physics and Astronomy</w:t>
      </w:r>
      <w:r>
        <w:t>)</w:t>
      </w:r>
      <w:r>
        <w:t xml:space="preserve">, </w:t>
      </w:r>
      <w:r>
        <w:t>Carmen Cantalapiedra</w:t>
      </w:r>
      <w:r>
        <w:t xml:space="preserve"> (</w:t>
      </w:r>
      <w:r>
        <w:rPr>
          <w:color w:val="636363"/>
          <w:sz w:val="20"/>
          <w:szCs w:val="20"/>
        </w:rPr>
        <w:t>University of Bologna, Department of Physics and Astronomy</w:t>
      </w:r>
      <w:r>
        <w:t>)</w:t>
      </w:r>
      <w:r>
        <w:t xml:space="preserve">, </w:t>
      </w:r>
      <w:r>
        <w:t>Xi Shengnan</w:t>
      </w:r>
      <w:r>
        <w:t xml:space="preserve"> (</w:t>
      </w:r>
      <w:r>
        <w:rPr>
          <w:color w:val="636363"/>
          <w:sz w:val="20"/>
          <w:szCs w:val="20"/>
        </w:rPr>
        <w:t>University of Bologna, Department of Physics and Astronomy</w:t>
      </w:r>
      <w:r>
        <w:t>)</w:t>
      </w:r>
      <w:r>
        <w:t xml:space="preserve">, </w:t>
      </w:r>
      <w:r>
        <w:t>Chiara Saltarelli</w:t>
      </w:r>
      <w:r>
        <w:t xml:space="preserve"> (</w:t>
      </w:r>
      <w:r>
        <w:rPr>
          <w:color w:val="636363"/>
          <w:sz w:val="20"/>
          <w:szCs w:val="20"/>
        </w:rPr>
        <w:t>Institute of Heritage Science (ISPC) CNR</w:t>
      </w:r>
      <w:r>
        <w:t>)</w:t>
      </w:r>
      <w:r>
        <w:t xml:space="preserve">, </w:t>
      </w:r>
      <w:r>
        <w:t>Vito Pagliarulo</w:t>
      </w:r>
      <w:r>
        <w:t xml:space="preserve"> (</w:t>
      </w:r>
      <w:r>
        <w:rPr>
          <w:color w:val="636363"/>
          <w:sz w:val="20"/>
          <w:szCs w:val="20"/>
        </w:rPr>
        <w:t>Institute of Applied Sciences and Intelligent Systems “E. Caianiello” of CNR, Napoli</w:t>
      </w:r>
      <w:r>
        <w:t>)</w:t>
      </w:r>
      <w:r>
        <w:t xml:space="preserve">, </w:t>
      </w:r>
      <w:r>
        <w:t>Melania Paturzo</w:t>
      </w:r>
      <w:r>
        <w:t xml:space="preserve"> (</w:t>
      </w:r>
      <w:r>
        <w:rPr>
          <w:color w:val="636363"/>
          <w:sz w:val="20"/>
          <w:szCs w:val="20"/>
        </w:rPr>
        <w:t>Institute of Applied Sciences and Intelligent Systems “E. Caianiello” of CNR, Napoli</w:t>
      </w:r>
      <w:r>
        <w:t>)</w:t>
      </w:r>
      <w:r>
        <w:t xml:space="preserve">. </w:t>
      </w:r>
    </w:p>
    <w:p>
      <w:pPr>
        <w:pStyle w:val="Text"/>
      </w:pPr>
      <w:r>
        <w:t>This study investigates the complementary capabilities of X-ray Computed Tomography (CT) and Shearography (SH) for the non-destructive structural assessment of an early-20th-century violin. High-resolution CT was performed using the experimental setup at the X-ray laboratory of the Department of Physics and Astronomy, University of Bologna, in Ravenna. The system can scan objects up to 1.5 m in size with a maximum resolution of 100 µm. SH measurements were carried out at the National Research Council laboratories in Pozzuoli (Naples) using a dynamic interferometric imaging system with a spatial resolution of 100 µm over a field of view of 2 m. CT provided three-dimensional information on the internal construction and revealed defects and evidence of previous interventions. SH is sensitive to surface displacement gradients and highlighted surface and near-surface anomalies but revealed as well the response associated with otherwise concealed structural elements.</w:t>
      </w:r>
    </w:p>
    <w:p>
      <w:pPr>
        <w:pStyle w:val="SubStyleBorder"/>
      </w:pPr>
      <w:bookmarkStart w:id="131" w:name="abs130"/>
      <w:r>
        <w:fldChar w:fldCharType="begin"/>
      </w:r>
      <w:r>
        <w:instrText xml:space="preserve">REF Index \h</w:instrText>
      </w:r>
      <w:r>
        <w:fldChar w:fldCharType="separate"/>
      </w:r>
      <w:r>
        <w:rPr>
          <w:color w:val="0000ff"/>
          <w:sz w:val="20"/>
          <w:szCs w:val="20"/>
        </w:rPr>
        <w:t>[9594]</w:t>
      </w:r>
      <w:r>
        <w:fldChar w:fldCharType="end"/>
      </w:r>
      <w:bookmarkEnd w:id="131"/>
      <w:r>
        <w:t xml:space="preserve"> </w:t>
      </w:r>
      <w:r>
        <w:rPr>
          <w:i/>
          <w:b/>
        </w:rPr>
        <w:t>Optimal Sensor Placement for structural health monitoring: comparison of methodologies on a multi-directional 3D FEM model.</w:t>
      </w:r>
    </w:p>
    <w:p>
      <w:pPr>
        <w:pStyle w:val="Authors"/>
      </w:pPr>
      <w:r>
        <w:t>Giovanni Lo Re'</w:t>
      </w:r>
      <w:r>
        <w:t xml:space="preserve"> (</w:t>
      </w:r>
      <w:r>
        <w:rPr>
          <w:color w:val="636363"/>
          <w:sz w:val="20"/>
          <w:szCs w:val="20"/>
        </w:rPr>
        <w:t>Polytechnic University of Bari</w:t>
      </w:r>
      <w:r>
        <w:t>)</w:t>
      </w:r>
      <w:r>
        <w:t xml:space="preserve">, </w:t>
      </w:r>
      <w:r>
        <w:t>Alessandra Fiore</w:t>
      </w:r>
      <w:r>
        <w:t xml:space="preserve"> (</w:t>
      </w:r>
      <w:r>
        <w:rPr>
          <w:color w:val="636363"/>
          <w:sz w:val="20"/>
          <w:szCs w:val="20"/>
        </w:rPr>
        <w:t>Polytechnic University of Bari</w:t>
      </w:r>
      <w:r>
        <w:t>)</w:t>
      </w:r>
      <w:r>
        <w:t xml:space="preserve">, </w:t>
      </w:r>
      <w:r>
        <w:t>Francesco Trentadue</w:t>
      </w:r>
      <w:r>
        <w:t xml:space="preserve"> (</w:t>
      </w:r>
      <w:r>
        <w:rPr>
          <w:color w:val="636363"/>
          <w:sz w:val="20"/>
          <w:szCs w:val="20"/>
        </w:rPr>
        <w:t>Polytechnic University of Bari</w:t>
      </w:r>
      <w:r>
        <w:t>)</w:t>
      </w:r>
      <w:r>
        <w:t xml:space="preserve">, </w:t>
      </w:r>
      <w:r>
        <w:t>Domenico De Tommasi</w:t>
      </w:r>
      <w:r>
        <w:t xml:space="preserve"> (</w:t>
      </w:r>
      <w:r>
        <w:rPr>
          <w:color w:val="636363"/>
          <w:sz w:val="20"/>
          <w:szCs w:val="20"/>
        </w:rPr>
        <w:t>Polytechnic University of Bari</w:t>
      </w:r>
      <w:r>
        <w:t>)</w:t>
      </w:r>
      <w:r>
        <w:t xml:space="preserve">. </w:t>
      </w:r>
    </w:p>
    <w:p>
      <w:pPr>
        <w:pStyle w:val="Text"/>
      </w:pPr>
      <w:r>
        <w:t>This work addresses the problem of optimal sensor placement (OSP) for the dynamic structural health monitoring of the San Francesco da Paola Bridge, a bridge with a two swing half-arch structure located in Taranto, Italy. The research differs from the prevailing approach in the literature through the use of a three-dimensional finite element model calibrated in SAP2000 and through the simultaneous analysis along three directions: vertical (Z), transverse (Y) and torsional (Rx). Eight OSP methodologies — six sequential ones: EFI, EFIDPR, DPR, EVP, NODP, KEM and two stochastic ones: Genetic algorithms and Bayesian optimization — were compared over 72 candidate positions, distributed on the two sides of the half-arch, evaluating four configurations (8, 12, 16 and 20 sensors) through a hierarchy of criteria: topological symmetry, the determinant criterion of the Fisher Information Matrix (FIM) and the Modal Assurance Criterion (MAC) with cubic spline reconstruction. The results show that EVP with n=8 achieves the best performance for the vertical and transverse directions (MACmin=0.8557 for Z and 0.8792 for Y). The torsional direction represents the most complex challenge, with the best result obtained by EFIDPR at n=16 (MACmin=0.7395), highlighting the intrinsic limits of spline reconstruction for complex modal profiles in cantilever structures.</w:t>
      </w:r>
    </w:p>
    <w:p>
      <w:pPr>
        <w:pStyle w:val="SubStyleBorder"/>
      </w:pPr>
      <w:bookmarkStart w:id="132" w:name="abs131"/>
      <w:r>
        <w:fldChar w:fldCharType="begin"/>
      </w:r>
      <w:r>
        <w:instrText xml:space="preserve">REF Index \h</w:instrText>
      </w:r>
      <w:r>
        <w:fldChar w:fldCharType="separate"/>
      </w:r>
      <w:r>
        <w:rPr>
          <w:color w:val="0000ff"/>
          <w:sz w:val="20"/>
          <w:szCs w:val="20"/>
        </w:rPr>
        <w:t>[9622]</w:t>
      </w:r>
      <w:r>
        <w:fldChar w:fldCharType="end"/>
      </w:r>
      <w:bookmarkEnd w:id="132"/>
      <w:r>
        <w:t xml:space="preserve"> </w:t>
      </w:r>
      <w:r>
        <w:rPr>
          <w:i/>
          <w:b/>
        </w:rPr>
        <w:t>Non – destructive diagnostic study on the mosaic of the crypt of St. Nicholas (Bari, Italy)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Giovanni Leucci</w:t>
      </w:r>
      <w:r>
        <w:t xml:space="preserve"> (</w:t>
      </w:r>
      <w:r>
        <w:rPr>
          <w:color w:val="636363"/>
          <w:sz w:val="20"/>
          <w:szCs w:val="20"/>
        </w:rPr>
        <w:t>National Research Council</w:t>
      </w:r>
      <w:r>
        <w:t>)</w:t>
      </w:r>
      <w:r>
        <w:t xml:space="preserve">. </w:t>
      </w:r>
    </w:p>
    <w:p>
      <w:pPr>
        <w:pStyle w:val="Text"/>
      </w:pPr>
      <w:r>
        <w:t>The crypt of St. Nicholas in Bari, Southern Italy, is a building of cultural worldwide importance. Inside the crypt a mosaic develops on the apsidal floor and along a parietal seat placed along the apsidal masonry, in the form of cladding. A surviving portion of the mosaic pavement is also preserved in the right lateral chapel. Non-destructive survey was undertaken for the diagnostic study of  the mosaic. GPR prospection was successfully applied to the study of its conservation state, that is strictly related to the condition of the subsoil, in particular to the presence and distribution of water. The presence of water, whose rise interests also some portions of the masonry and water content distribution were identified by the results of electromagnetic wave velocity analysis in GPR data. 
The decay visible on the tesserae evidenced widespread spalling and crumbling as typical forms that selectively affect the different materials of the tesserae of the mosaic.  
The application of the GPR showed its effectiveness in order to acquire a quite complete knowledge for diagnostic purpose. Decay appeared to be due to the combined presence of water and soluble salts and it has different effects depending on the  materials characteristics.</w:t>
      </w:r>
    </w:p>
    <w:p>
      <w:pPr>
        <w:pStyle w:val="SubStyleBorder"/>
      </w:pPr>
      <w:bookmarkStart w:id="133" w:name="abs132"/>
      <w:r>
        <w:fldChar w:fldCharType="begin"/>
      </w:r>
      <w:r>
        <w:instrText xml:space="preserve">REF Index \h</w:instrText>
      </w:r>
      <w:r>
        <w:fldChar w:fldCharType="separate"/>
      </w:r>
      <w:r>
        <w:rPr>
          <w:color w:val="0000ff"/>
          <w:sz w:val="20"/>
          <w:szCs w:val="20"/>
        </w:rPr>
        <w:t>[9625]</w:t>
      </w:r>
      <w:r>
        <w:fldChar w:fldCharType="end"/>
      </w:r>
      <w:bookmarkEnd w:id="133"/>
      <w:r>
        <w:t xml:space="preserve"> </w:t>
      </w:r>
      <w:r>
        <w:rPr>
          <w:i/>
          <w:b/>
        </w:rPr>
        <w:t>The Atemporality of As‑Becoming: Continuactive Layers of Heritage Inventoried through Digital Metamodeling</w:t>
      </w:r>
    </w:p>
    <w:p>
      <w:pPr>
        <w:pStyle w:val="Authors"/>
      </w:pPr>
      <w:r>
        <w:t>Fernando Birello de Lima</w:t>
      </w:r>
      <w:r>
        <w:t xml:space="preserve"> (</w:t>
      </w:r>
      <w:r>
        <w:rPr>
          <w:color w:val="636363"/>
          <w:sz w:val="20"/>
          <w:szCs w:val="20"/>
        </w:rPr>
        <w:t>Universidade do Estado de Mato Grosso</w:t>
      </w:r>
      <w:r>
        <w:t>)</w:t>
      </w:r>
      <w:r>
        <w:t xml:space="preserve">, </w:t>
      </w:r>
      <w:r>
        <w:t>Simone Helena Tanoue Vizioli</w:t>
      </w:r>
      <w:r>
        <w:t xml:space="preserve"> (</w:t>
      </w:r>
      <w:r>
        <w:rPr>
          <w:color w:val="636363"/>
          <w:sz w:val="20"/>
          <w:szCs w:val="20"/>
        </w:rPr>
        <w:t>University of São Paulo</w:t>
      </w:r>
      <w:r>
        <w:t>)</w:t>
      </w:r>
      <w:r>
        <w:t xml:space="preserve">, </w:t>
      </w:r>
      <w:r>
        <w:t>Alfonso Ippolito</w:t>
      </w:r>
      <w:r>
        <w:t xml:space="preserve"> (</w:t>
      </w:r>
      <w:r>
        <w:rPr>
          <w:color w:val="636363"/>
          <w:sz w:val="20"/>
          <w:szCs w:val="20"/>
        </w:rPr>
        <w:t>Sapienza Università di Roma</w:t>
      </w:r>
      <w:r>
        <w:t>)</w:t>
      </w:r>
      <w:r>
        <w:t xml:space="preserve">. </w:t>
      </w:r>
    </w:p>
    <w:p>
      <w:pPr>
        <w:pStyle w:val="Text"/>
      </w:pPr>
      <w:r>
        <w:t>The preservation of architectural heritage requires parameterizing the life cycle and constructive evolution of buildings and landscapes. While metric acquisition documents historic sites with millimetric precision, traditional “as-built/as-is” models remain restricted to static temporal states. This study introduces the As-Becoming methodology, operationalized through semantic–temporal digital metamodeling. By shifting from “static states” to “transitional processes”, the research proposes the evolution of Heritage Building Information Modeling (HBIM) into Historic District Information Modeling (HDIM). To resolve the semantic gap between computational logic and cultural concepts, the methodology incorporates the ISO 21127 (CIDOC CRM) standard, structuring information around temporal events (E2 Entity) rather than fixed objects. The metamodel manages variables of Time (t), Transformation (T), and Uncertainty (U), enabling the management of multi-layered heritage. The approach is validated through experiments ranging from hyper-complex archetypes like Castel Sant’Angelo to frugal architectures in the Global South. Results demonstrate that this framework transforms inventories into active tools for Programmed Conservation, converting the propensity for change into structured metadata.</w:t>
      </w:r>
    </w:p>
    <w:p>
      <w:pPr>
        <w:pStyle w:val="SubStyleBorder"/>
      </w:pPr>
      <w:bookmarkStart w:id="134" w:name="abs133"/>
      <w:r>
        <w:fldChar w:fldCharType="begin"/>
      </w:r>
      <w:r>
        <w:instrText xml:space="preserve">REF Index \h</w:instrText>
      </w:r>
      <w:r>
        <w:fldChar w:fldCharType="separate"/>
      </w:r>
      <w:r>
        <w:rPr>
          <w:color w:val="0000ff"/>
          <w:sz w:val="20"/>
          <w:szCs w:val="20"/>
        </w:rPr>
        <w:t>[9649]</w:t>
      </w:r>
      <w:r>
        <w:fldChar w:fldCharType="end"/>
      </w:r>
      <w:bookmarkEnd w:id="134"/>
      <w:r>
        <w:t xml:space="preserve"> </w:t>
      </w:r>
      <w:r>
        <w:rPr>
          <w:i/>
          <w:b/>
        </w:rPr>
        <w:t>From Where to Why? SHAP Values and the Limits of Explainability in Settlement Pattern Analysis</w:t>
      </w:r>
    </w:p>
    <w:p>
      <w:pPr>
        <w:pStyle w:val="Authors"/>
      </w:pPr>
      <w:r>
        <w:t>Alessandri Luca</w:t>
      </w:r>
      <w:r>
        <w:t xml:space="preserve"> (</w:t>
      </w:r>
      <w:r>
        <w:rPr>
          <w:color w:val="636363"/>
          <w:sz w:val="20"/>
          <w:szCs w:val="20"/>
        </w:rPr>
        <w:t>Groningen University</w:t>
      </w:r>
      <w:r>
        <w:t>)</w:t>
      </w:r>
      <w:r>
        <w:t xml:space="preserve">, </w:t>
      </w:r>
      <w:r>
        <w:t>Valerio Baiocchi</w:t>
      </w:r>
      <w:r>
        <w:t xml:space="preserve"> (</w:t>
      </w:r>
      <w:r>
        <w:rPr>
          <w:color w:val="636363"/>
          <w:sz w:val="20"/>
          <w:szCs w:val="20"/>
        </w:rPr>
        <w:t>Sapienza University of Rome</w:t>
      </w:r>
      <w:r>
        <w:t>)</w:t>
      </w:r>
      <w:r>
        <w:t xml:space="preserve">. </w:t>
      </w:r>
    </w:p>
    <w:p>
      <w:pPr>
        <w:pStyle w:val="Text"/>
      </w:pPr>
      <w:r>
        <w:t>Quantitative studies of settlement patterns have long sought to measure how environmental variables (terrain, hydrology, geology) bear on the choices past communities made between settling a place and passing it over. High-performing machine-learning classifiers such as the Random Forest model these choices effectively but conceal how each variable contributes, returning accurate decisions without legible reasons. SHAP (SHapley Additive exPlanations) values promise to reopen this black box, decomposing each classification into the signed contribution of every predictor. Using a worked example, walking time to the sea in the Bronze and Iron Age Ager Tarquiniensis, we show how a SHAP dependence plot recovers thresholds and reversals that impressionistic analysis would miss, anchoring archaeological inference to a statistical datum. We then argue that explainability has limits: SHAP explains the model, not the past, and the result depends on choices made upstream. The tool sharpens archaeological questions rather than answering them.</w:t>
      </w:r>
    </w:p>
    <w:p>
      <w:pPr>
        <w:pStyle w:val="SubStyleBorder"/>
      </w:pPr>
      <w:bookmarkStart w:id="135" w:name="abs134"/>
      <w:r>
        <w:fldChar w:fldCharType="begin"/>
      </w:r>
      <w:r>
        <w:instrText xml:space="preserve">REF Index \h</w:instrText>
      </w:r>
      <w:r>
        <w:fldChar w:fldCharType="separate"/>
      </w:r>
      <w:r>
        <w:rPr>
          <w:color w:val="0000ff"/>
          <w:sz w:val="20"/>
          <w:szCs w:val="20"/>
        </w:rPr>
        <w:t>[9670]</w:t>
      </w:r>
      <w:r>
        <w:fldChar w:fldCharType="end"/>
      </w:r>
      <w:bookmarkEnd w:id="135"/>
      <w:r>
        <w:t xml:space="preserve"> </w:t>
      </w:r>
      <w:r>
        <w:rPr>
          <w:i/>
          <w:b/>
        </w:rPr>
        <w:t>GPR at the Basilica of Our Lady in Copertino (Lecce, Southern Italy)</w:t>
      </w:r>
    </w:p>
    <w:p>
      <w:pPr>
        <w:pStyle w:val="Authors"/>
      </w:pPr>
      <w:r>
        <w:t>Lara De Giorgi</w:t>
      </w:r>
      <w:r>
        <w:t xml:space="preserve"> (</w:t>
      </w:r>
      <w:r>
        <w:rPr>
          <w:color w:val="636363"/>
          <w:sz w:val="20"/>
          <w:szCs w:val="20"/>
        </w:rPr>
        <w:t>CNR-ISPC</w:t>
      </w:r>
      <w:r>
        <w:t>)</w:t>
      </w:r>
      <w:r>
        <w:t xml:space="preserve">, </w:t>
      </w:r>
      <w:r>
        <w:t>Dora Francesca Barbolla</w:t>
      </w:r>
      <w:r>
        <w:t xml:space="preserve"> (</w:t>
      </w:r>
      <w:r>
        <w:rPr>
          <w:color w:val="636363"/>
          <w:sz w:val="20"/>
          <w:szCs w:val="20"/>
        </w:rPr>
        <w:t>CNR-ISPC</w:t>
      </w:r>
      <w:r>
        <w:t>)</w:t>
      </w:r>
      <w:r>
        <w:t xml:space="preserve">, </w:t>
      </w:r>
      <w:r>
        <w:t>Ivan Ferrari</w:t>
      </w:r>
      <w:r>
        <w:t xml:space="preserve"> (</w:t>
      </w:r>
      <w:r>
        <w:rPr>
          <w:color w:val="636363"/>
          <w:sz w:val="20"/>
          <w:szCs w:val="20"/>
        </w:rPr>
        <w:t>ISPC-CNR</w:t>
      </w:r>
      <w:r>
        <w:t>)</w:t>
      </w:r>
      <w:r>
        <w:t xml:space="preserve">, </w:t>
      </w:r>
      <w:r>
        <w:t>Francesco Giuri</w:t>
      </w:r>
      <w:r>
        <w:t xml:space="preserve"> (</w:t>
      </w:r>
      <w:r>
        <w:rPr>
          <w:color w:val="636363"/>
          <w:sz w:val="20"/>
          <w:szCs w:val="20"/>
        </w:rPr>
        <w:t>ISPC-CNR</w:t>
      </w:r>
      <w:r>
        <w:t>)</w:t>
      </w:r>
      <w:r>
        <w:t xml:space="preserve">, </w:t>
      </w:r>
      <w:r>
        <w:t>Giovanni Leucci</w:t>
      </w:r>
      <w:r>
        <w:t xml:space="preserve"> (</w:t>
      </w:r>
      <w:r>
        <w:rPr>
          <w:color w:val="636363"/>
          <w:sz w:val="20"/>
          <w:szCs w:val="20"/>
        </w:rPr>
        <w:t>National Research Council</w:t>
      </w:r>
      <w:r>
        <w:t>)</w:t>
      </w:r>
      <w:r>
        <w:t xml:space="preserve">. </w:t>
      </w:r>
    </w:p>
    <w:p>
      <w:pPr>
        <w:pStyle w:val="Text"/>
      </w:pPr>
      <w:r>
        <w:t>The Basilica of Our Lady of the Snows in Copertino was built in 1088 by the will of the Norman Count Goffredo of Conversano and was originally entitled to the Virgin. In 1255 Manfredi, Prince of Taranto and Count of Copertino elevated it to basilica entitling it to the Virgin of the Snows. It is the mother church of Copertino, already directed basilica and in 2011 elevated to the rank of minor basilica. GPR survey was undertaken inside the churches at Copertino village, located a few kilometres southwest of Lecce (Italy). The purpose of the survey was to obtain information about the existence of ancient structures beneath the churches. No document or writing exists to confirm the presence of structures under the  church. However, there are several oral testimonies handed down over the centuries that suggest the presence of these ancient structures.
Survey was carried out using a IDS Hi Mod georadar system, incorporating the dual band 200-600 MHz centre frequency antennae. The GPR time slices were constructed from closely spaced parallel profiles. The time slices, computed from averaging radar reflections over vertical time windows several nanoseconds thick, are used to map subsoil features associated with the structures, probably of anthropogenic origin. To facilitate the interpretation of the results, a three-dimensional image was constructed using closely spaced parallel profiles, which are linearly interpolated.</w:t>
      </w:r>
    </w:p>
    <w:p>
      <w:pPr>
        <w:pStyle w:val="SubStyleBorder"/>
      </w:pPr>
      <w:bookmarkStart w:id="136" w:name="abs135"/>
      <w:r>
        <w:fldChar w:fldCharType="begin"/>
      </w:r>
      <w:r>
        <w:instrText xml:space="preserve">REF Index \h</w:instrText>
      </w:r>
      <w:r>
        <w:fldChar w:fldCharType="separate"/>
      </w:r>
      <w:r>
        <w:rPr>
          <w:color w:val="0000ff"/>
          <w:sz w:val="20"/>
          <w:szCs w:val="20"/>
        </w:rPr>
        <w:t>[9729]</w:t>
      </w:r>
      <w:r>
        <w:fldChar w:fldCharType="end"/>
      </w:r>
      <w:bookmarkEnd w:id="136"/>
      <w:r>
        <w:t xml:space="preserve"> </w:t>
      </w:r>
      <w:r>
        <w:rPr>
          <w:i/>
          <w:b/>
        </w:rPr>
        <w:t>Geometric Construction and Structural Adaptation of the Ancient Roman Bridge over the Savuto River: A Metrological-Constructive Hypothesis</w:t>
      </w:r>
    </w:p>
    <w:p>
      <w:pPr>
        <w:pStyle w:val="Authors"/>
      </w:pPr>
      <w:r>
        <w:t>Fabrizio Barone</w:t>
      </w:r>
      <w:r>
        <w:t xml:space="preserve"> (</w:t>
      </w:r>
      <w:r>
        <w:rPr>
          <w:color w:val="636363"/>
          <w:sz w:val="20"/>
          <w:szCs w:val="20"/>
        </w:rPr>
        <w:t>University of Salerno</w:t>
      </w:r>
      <w:r>
        <w:t>)</w:t>
      </w:r>
      <w:r>
        <w:t xml:space="preserve">, </w:t>
      </w:r>
      <w:r>
        <w:t>Marco Casazza</w:t>
      </w:r>
      <w:r>
        <w:t xml:space="preserve"> (</w:t>
      </w:r>
      <w:r>
        <w:rPr>
          <w:color w:val="636363"/>
          <w:sz w:val="20"/>
          <w:szCs w:val="20"/>
        </w:rPr>
        <w:t>Università degli Studi di Salerno</w:t>
      </w:r>
      <w:r>
        <w:t>)</w:t>
      </w:r>
      <w:r>
        <w:t xml:space="preserve">, </w:t>
      </w:r>
      <w:r>
        <w:t>Armando Di Maio</w:t>
      </w:r>
      <w:r>
        <w:t xml:space="preserve"> (</w:t>
      </w:r>
      <w:r>
        <w:rPr>
          <w:color w:val="636363"/>
          <w:sz w:val="20"/>
          <w:szCs w:val="20"/>
        </w:rPr>
        <w:t>Studio di Architettura Di Maio, Napoli, Italy</w:t>
      </w:r>
      <w:r>
        <w:t>)</w:t>
      </w:r>
      <w:r>
        <w:t xml:space="preserve">. </w:t>
      </w:r>
    </w:p>
    <w:p>
      <w:pPr>
        <w:pStyle w:val="Text"/>
      </w:pPr>
      <w:r>
        <w:t>This study develops a metrological– constructive interpretation of the Roman Hannibal or Sant’Angelo Bridge over the Savuto River, examining whether its geometry, double-ring masonry and environmental setting are compatible with staged construction and, within this framework, with a modular polygonal timber centring system. Architectural observations are combined with corrected geometric screening, ancient double-ring comparanda (Alcántara, Ponte delle Chianche and Limyra), and existing TLS/UAV and measurement-constrained finite-element datasets. For a 21.5 m reference diameter, bare 10–14- sided polygons do not reproduce a semicircular intrados with centimetric accuracy; a secondary shaping layer is therefore required. Reciprocal centring is consequently treated as one testable sub-hypothesis within broader alternatives for double-ring erection. The study separates documented evidence, geometric compatibility and mechanical feasibility, and identifies the metric, numerical and experimental analyses required to assess the proposed sequence in the torrential Savuto environment</w:t>
      </w:r>
    </w:p>
    <w:p>
      <w:pPr>
        <w:pStyle w:val="SubStyleBorder"/>
      </w:pPr>
      <w:bookmarkStart w:id="137" w:name="abs136"/>
      <w:r>
        <w:fldChar w:fldCharType="begin"/>
      </w:r>
      <w:r>
        <w:instrText xml:space="preserve">REF Index \h</w:instrText>
      </w:r>
      <w:r>
        <w:fldChar w:fldCharType="separate"/>
      </w:r>
      <w:r>
        <w:rPr>
          <w:color w:val="0000ff"/>
          <w:sz w:val="20"/>
          <w:szCs w:val="20"/>
        </w:rPr>
        <w:t>[9763]</w:t>
      </w:r>
      <w:r>
        <w:fldChar w:fldCharType="end"/>
      </w:r>
      <w:bookmarkEnd w:id="137"/>
      <w:r>
        <w:t xml:space="preserve"> </w:t>
      </w:r>
      <w:r>
        <w:rPr>
          <w:i/>
          <w:b/>
        </w:rPr>
        <w:t>From Fragment to Context: Digital Recontextualization of Displaced Cultural Heritage</w:t>
      </w:r>
    </w:p>
    <w:p>
      <w:pPr>
        <w:pStyle w:val="Authors"/>
      </w:pPr>
      <w:r>
        <w:t>Francesco Cozzolino</w:t>
      </w:r>
      <w:r>
        <w:t xml:space="preserve"> (</w:t>
      </w:r>
      <w:r>
        <w:rPr>
          <w:color w:val="636363"/>
          <w:sz w:val="20"/>
          <w:szCs w:val="20"/>
        </w:rPr>
        <w:t>Università degli studi di Salerno</w:t>
      </w:r>
      <w:r>
        <w:t>)</w:t>
      </w:r>
      <w:r>
        <w:t xml:space="preserve">, </w:t>
      </w:r>
      <w:r>
        <w:t>Emanuela Lanzara</w:t>
      </w:r>
      <w:r>
        <w:t xml:space="preserve"> (</w:t>
      </w:r>
      <w:r>
        <w:rPr>
          <w:color w:val="636363"/>
          <w:sz w:val="20"/>
          <w:szCs w:val="20"/>
        </w:rPr>
        <w:t>Suor Orsola Benincasa University</w:t>
      </w:r>
      <w:r>
        <w:t>)</w:t>
      </w:r>
      <w:r>
        <w:t xml:space="preserve">. </w:t>
      </w:r>
    </w:p>
    <w:p>
      <w:pPr>
        <w:pStyle w:val="Text"/>
      </w:pPr>
      <w:r>
        <w:t>This contribution presents an interdisciplinary workflow that integrates digital surveying, generative AI, 3D modelling and historical-artistic validation within a semantically structured environment. The case study focuses on three coats of arms preserved at the Certosa and Museum of San Martino, originally from the lost Porta Medina in Naples, exploring how AI-assisted reconstruction can reconnect museumized fragments, lost urban context and historical interpretation. The workflow combines close-range photogrammetry, NeRF-based environments and AI-assisted text-to-image and image-to-3D pipelines. Images and models are treated not as automatic restitutions, but as traceable hypotheses, distinguishing documented data, reconstructive inference and algorithmic generation. By declaring sources, levels of certainty and interpretative responsibilities, the project proposes a digital configuration of Porta Medina as an interrogable knowledge environment, highlighting the potential of semantic infrastructures and human-centered AI for transparent, verifiable and sustainable cultural heritage reconstruction.</w:t>
      </w:r>
    </w:p>
    <w:p>
      <w:pPr>
        <w:pStyle w:val="SubStyleBorder"/>
      </w:pPr>
      <w:bookmarkStart w:id="138" w:name="abs137"/>
      <w:r>
        <w:fldChar w:fldCharType="begin"/>
      </w:r>
      <w:r>
        <w:instrText xml:space="preserve">REF Index \h</w:instrText>
      </w:r>
      <w:r>
        <w:fldChar w:fldCharType="separate"/>
      </w:r>
      <w:r>
        <w:rPr>
          <w:color w:val="0000ff"/>
          <w:sz w:val="20"/>
          <w:szCs w:val="20"/>
        </w:rPr>
        <w:t>[9915]</w:t>
      </w:r>
      <w:r>
        <w:fldChar w:fldCharType="end"/>
      </w:r>
      <w:bookmarkEnd w:id="138"/>
      <w:r>
        <w:t xml:space="preserve"> </w:t>
      </w:r>
      <w:r>
        <w:rPr>
          <w:i/>
          <w:b/>
        </w:rPr>
        <w:t>MATWINS: Integrating Multi-Survey Data and Artificial Intelligence into Digital Twins for Cultural and Environmental Heritage</w:t>
      </w:r>
    </w:p>
    <w:p>
      <w:pPr>
        <w:pStyle w:val="Authors"/>
      </w:pPr>
      <w:r>
        <w:t>Sebastiano D'Amico</w:t>
      </w:r>
      <w:r>
        <w:t xml:space="preserve"> (</w:t>
      </w:r>
      <w:r>
        <w:rPr>
          <w:color w:val="636363"/>
          <w:sz w:val="20"/>
          <w:szCs w:val="20"/>
        </w:rPr>
        <w:t>Department of Geosciences, University of Malta</w:t>
      </w:r>
      <w:r>
        <w:t>)</w:t>
      </w:r>
      <w:r>
        <w:t xml:space="preserve">, </w:t>
      </w:r>
      <w:r>
        <w:t>Luciano Galone</w:t>
      </w:r>
      <w:r>
        <w:t xml:space="preserve"> (</w:t>
      </w:r>
      <w:r>
        <w:rPr>
          <w:color w:val="636363"/>
          <w:sz w:val="20"/>
          <w:szCs w:val="20"/>
        </w:rPr>
        <w:t>University of Malta</w:t>
      </w:r>
      <w:r>
        <w:t>)</w:t>
      </w:r>
      <w:r>
        <w:t xml:space="preserve">, </w:t>
      </w:r>
      <w:r>
        <w:t>Emanuele Colica</w:t>
      </w:r>
      <w:r>
        <w:t xml:space="preserve"> (</w:t>
      </w:r>
      <w:r>
        <w:rPr>
          <w:color w:val="636363"/>
          <w:sz w:val="20"/>
          <w:szCs w:val="20"/>
        </w:rPr>
        <w:t>University of Malta</w:t>
      </w:r>
      <w:r>
        <w:t>)</w:t>
      </w:r>
      <w:r>
        <w:t xml:space="preserve">, </w:t>
      </w:r>
      <w:r>
        <w:t>Ritienne Gauci</w:t>
      </w:r>
      <w:r>
        <w:t xml:space="preserve"> (</w:t>
      </w:r>
      <w:r>
        <w:rPr>
          <w:color w:val="636363"/>
          <w:sz w:val="20"/>
          <w:szCs w:val="20"/>
        </w:rPr>
        <w:t>University of Malta</w:t>
      </w:r>
      <w:r>
        <w:t>)</w:t>
      </w:r>
      <w:r>
        <w:t xml:space="preserve">, </w:t>
      </w:r>
      <w:r>
        <w:t>John Abela</w:t>
      </w:r>
      <w:r>
        <w:t xml:space="preserve"> (</w:t>
      </w:r>
      <w:r>
        <w:rPr>
          <w:color w:val="636363"/>
          <w:sz w:val="20"/>
          <w:szCs w:val="20"/>
        </w:rPr>
        <w:t>University of Malta</w:t>
      </w:r>
      <w:r>
        <w:t>)</w:t>
      </w:r>
      <w:r>
        <w:t xml:space="preserve">, </w:t>
      </w:r>
      <w:r>
        <w:t>Adam Gauci</w:t>
      </w:r>
      <w:r>
        <w:t xml:space="preserve"> (</w:t>
      </w:r>
      <w:r>
        <w:rPr>
          <w:color w:val="636363"/>
          <w:sz w:val="20"/>
          <w:szCs w:val="20"/>
        </w:rPr>
        <w:t>University of Malta</w:t>
      </w:r>
      <w:r>
        <w:t>)</w:t>
      </w:r>
      <w:r>
        <w:t xml:space="preserve">, </w:t>
      </w:r>
      <w:r>
        <w:t>Daniel Fenech</w:t>
      </w:r>
      <w:r>
        <w:t xml:space="preserve"> (</w:t>
      </w:r>
      <w:r>
        <w:rPr>
          <w:color w:val="636363"/>
          <w:sz w:val="20"/>
          <w:szCs w:val="20"/>
        </w:rPr>
        <w:t>Public Works Department, Floriana, Malta</w:t>
      </w:r>
      <w:r>
        <w:t>)</w:t>
      </w:r>
      <w:r>
        <w:t xml:space="preserve">. </w:t>
      </w:r>
    </w:p>
    <w:p>
      <w:pPr>
        <w:pStyle w:val="Text"/>
      </w:pPr>
      <w:r>
        <w:t>Digital survey and non-invasive investigation techniques are increasingly used for cultural and environmental heritage documentation, but their outputs often remain fragmented as separate 3D models, geophysical datasets, or descriptive records. This paper presents the methodological framework of MATWINS (Malta TwinSpaces) a project aimed at integrating existing and newly acquired multi-survey data into semantic digital twins for Maltese cultural and environmental heritage. The framework combines UAV photogrammetry, terrestrial laser scanning, volumetric image-based modelling, GPR, ERT, and passive seismic measurements. These datasets are organised through georeferencing, metadata, expert interpretation, and AI-assisted semantic indexing. The resulting digital heritage records are intended to support documentation, interpretation, dissemination, and future conservation-oriented analyses. MATWINS is presented as a framework for transforming heterogeneous survey outputs into reusable digital resources for heritage documentation and management.</w:t>
      </w:r>
    </w:p>
    <w:p>
      <w:pPr>
        <w:pStyle w:val="SubStyleBorder"/>
      </w:pPr>
      <w:bookmarkStart w:id="139" w:name="abs138"/>
      <w:r>
        <w:fldChar w:fldCharType="begin"/>
      </w:r>
      <w:r>
        <w:instrText xml:space="preserve">REF Index \h</w:instrText>
      </w:r>
      <w:r>
        <w:fldChar w:fldCharType="separate"/>
      </w:r>
      <w:r>
        <w:rPr>
          <w:color w:val="0000ff"/>
          <w:sz w:val="20"/>
          <w:szCs w:val="20"/>
        </w:rPr>
        <w:t>[9995]</w:t>
      </w:r>
      <w:r>
        <w:fldChar w:fldCharType="end"/>
      </w:r>
      <w:bookmarkEnd w:id="139"/>
      <w:r>
        <w:t xml:space="preserve"> </w:t>
      </w:r>
      <w:r>
        <w:rPr>
          <w:i/>
          <w:b/>
        </w:rPr>
        <w:t>Umbria. Etruscan necropolis of Hellenistic age in Perugia: urns with farewell scenes</w:t>
      </w:r>
    </w:p>
    <w:p>
      <w:pPr>
        <w:pStyle w:val="Authors"/>
      </w:pPr>
      <w:r>
        <w:t>Luana Cenciaioli</w:t>
      </w:r>
      <w:r>
        <w:t xml:space="preserve"> (</w:t>
      </w:r>
      <w:r>
        <w:rPr>
          <w:color w:val="636363"/>
          <w:sz w:val="20"/>
          <w:szCs w:val="20"/>
        </w:rPr>
        <w:t>Direction National Archaeological Museums of Umbria-Perugia, Perugia (Italy)</w:t>
      </w:r>
      <w:r>
        <w:t>)</w:t>
      </w:r>
      <w:r>
        <w:t xml:space="preserve">, </w:t>
      </w:r>
      <w:r>
        <w:t>Paola Comodi</w:t>
      </w:r>
      <w:r>
        <w:t xml:space="preserve"> (</w:t>
      </w:r>
      <w:r>
        <w:rPr>
          <w:color w:val="636363"/>
          <w:sz w:val="20"/>
          <w:szCs w:val="20"/>
        </w:rPr>
        <w:t>Dept. of Physics and Geology, University of Perugia, Perugia (Italy)</w:t>
      </w:r>
      <w:r>
        <w:t>)</w:t>
      </w:r>
      <w:r>
        <w:t xml:space="preserve">. </w:t>
      </w:r>
    </w:p>
    <w:p>
      <w:pPr>
        <w:pStyle w:val="Text"/>
      </w:pPr>
      <w:r>
        <w:t>This paper focuses on the production of Etruscan cinerary urns in Perugia during the
Hellenistic period. During this period, the practice of placing the deceased in urns made from various materials and locally produced became widespread in Etruria: alabaster in Volterra, terracotta in Chiusi, and travertine in Perugia. Mostly cubic in shape, they are decorated on the front with figurative scenes. By examining the decorations on the front of the coffins, and only rarely on the sides and on the lids, it is possible to trace the workshops in which they were manufactured, the artist who worked inside, and the various stages of production.</w:t>
      </w:r>
    </w:p>
    <w:sectPr>
      <w:cols w:space="708"/>
      <w:docGrid w:linePitch="360"/>
      <w:pgSz w:h="16840" w:w="11900"/>
      <w:pgMar w:bottom="851" w:footer="709" w:gutter="0" w:header="709" w:left="851" w:right="851" w:top="85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Arial">
    <w:panose1 w:val="020B0604020202020204"/>
    <w:charset w:val="00"/>
    <w:family w:val="auto"/>
    <w:pitch w:val="variable"/>
    <w:sig w:csb0="00000001" w:csb1="00000000" w:usb0="00000003" w:usb1="00000000" w:usb2="00000000" w:usb3="00000000"/>
  </w:font>
  <w:font w:name="ＭＳ ゴシック">
    <w:panose1 w:val="00000000000000000000"/>
    <w:charset w:val="80"/>
    <w:family w:val="modern"/>
    <w:notTrueType/>
    <w:pitch w:val="fixed"/>
    <w:sig w:csb0="00020000" w:csb1="00000000" w:usb0="00000001" w:usb1="08070000" w:usb2="00000010" w:usb3="00000000"/>
  </w:font>
  <w:font w:name="Calibri">
    <w:panose1 w:val="020F050202020403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g="http://schemas.microsoft.com/office/word/2010/wordprocessingGroup" xmlns:wps="http://schemas.microsoft.com/office/word/2010/wordprocessingShape">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hideSpellingErrors/>
  <w:hideGrammaticalError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72F"/>
    <w:rsid w:val="005E4088"/>
    <w:rsid w:val="00B0772F"/>
  </w:rsids>
  <m:mathPr>
    <m:mathFont m:val="Cambria Math"/>
    <m:brkBin m:val="before"/>
    <m:brkBinSub m:val="--"/>
    <m:smallFrac m:val="0"/>
    <m:dispDef/>
    <m:lMargin m:val="0"/>
    <m:rMargin m:val="0"/>
    <m:defJc m:val="centerGroup"/>
    <m:wrapIndent m:val="1440"/>
    <m:intLim m:val="subSup"/>
    <m:naryLim m:val="undOvr"/>
  </m:mathPr>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6" v:ext="edit"/>
    <o:shapelayout v:ext="edit">
      <o:idmap data="1" v:ext="edit"/>
    </o:shapelayout>
  </w:shapeDefaults>
  <w:decimalSymbol w:val="."/>
  <w:listSeparator w:val=","/>
  <w14:docId w14:val="1D3885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styleId="Hyperlink" w:type="character">
    <w:name w:val="Hyperlink"/>
    <w:basedOn w:val="DefaultParagraphFont"/>
    <w:uiPriority w:val="99"/>
    <w:unhideWhenUsed/>
    <w:rsid w:val="00780C8F"/>
    <w:rPr>
      <w:color w:themeColor="hyperlink" w:val="0000FF"/>
      <w:u w:val="single"/>
    </w:rPr>
  </w:style>
  <w:style w:styleId="TableGrid" w:type="table">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ECHeader" w:type="paragraph">
    <w:name w:val="ECHeader"/>
    <w:next w:val="NormalOld"/>
    <w:qFormat/>
    <w:pPr>
      <w:pBdr>
        <w:bottom w:color="auto" w:space="5" w:sz="4" w:themeColor="text1" w:val="single"/>
      </w:pBdr>
      <w:ind w:firstLine="142"/>
      <w:spacing w:after="240"/>
    </w:pPr>
  </w:style>
  <w:style w:customStyle="1" w:styleId="PageTitle" w:type="paragraph">
    <w:name w:val="PageTitle"/>
    <w:next w:val="NormalOld"/>
    <w:qFormat/>
    <w:pPr>
      <w:jc w:val="left"/>
      <w:ind/>
      <w:spacing w:after="240"/>
      <w:keepNext/>
      <w:keepLines/>
    </w:pPr>
    <w:rPr>
      <w:rFonts w:ascii="Calibri" w:cs="Calibri" w:hAnsi="Calibri"/>
      <w:sz w:val="36"/>
      <w:szCs w:val="36"/>
    </w:rPr>
  </w:style>
  <w:style w:customStyle="1" w:styleId="IndexStyle" w:type="paragraph">
    <w:name w:val="IndexStyle"/>
    <w:next w:val="NormalOld"/>
    <w:qFormat/>
    <w:pPr>
      <w:jc w:val="both"/>
      <w:ind/>
      <w:spacing w:after="180"/>
      <w:keepLines/>
    </w:pPr>
    <w:rPr>
      <w:rFonts w:ascii="Calibri" w:cs="Calibri" w:hAnsi="Calibri"/>
      <w:sz w:val="22"/>
      <w:szCs w:val="22"/>
    </w:rPr>
  </w:style>
  <w:style w:customStyle="1" w:styleId="SubStyleBorder" w:type="paragraph">
    <w:name w:val="SubStyleBorder"/>
    <w:next w:val="NormalOld"/>
    <w:qFormat/>
    <w:pPr>
      <w:pBdr>
        <w:top w:color="636363" w:space="10" w:sz="6" w:val="single"/>
      </w:pBdr>
      <w:jc w:val="left"/>
      <w:ind/>
      <w:spacing w:after="60" w:before="300"/>
      <w:keepLines/>
    </w:pPr>
    <w:rPr>
      <w:rFonts w:ascii="Calibri" w:cs="Calibri" w:hAnsi="Calibri"/>
      <w:sz w:val="26"/>
      <w:szCs w:val="26"/>
    </w:rPr>
  </w:style>
  <w:style w:customStyle="1" w:styleId="SubStyle" w:type="paragraph">
    <w:name w:val="SubStyle"/>
    <w:next w:val="NormalOld"/>
    <w:qFormat/>
    <w:pPr>
      <w:jc w:val="left"/>
      <w:ind/>
      <w:spacing w:after="60" w:before="120"/>
      <w:keepLines/>
    </w:pPr>
    <w:rPr>
      <w:rFonts w:ascii="Calibri" w:cs="Calibri" w:hAnsi="Calibri"/>
      <w:sz w:val="26"/>
      <w:szCs w:val="26"/>
    </w:rPr>
  </w:style>
  <w:style w:customStyle="1" w:styleId="ReviewStyle" w:type="paragraph">
    <w:name w:val="ReviewStyle"/>
    <w:next w:val="NormalOld"/>
    <w:qFormat/>
    <w:pPr>
      <w:jc w:val="left"/>
      <w:ind/>
      <w:spacing w:after="120" w:before="180"/>
      <w:keepLines/>
    </w:pPr>
    <w:rPr>
      <w:rFonts w:ascii="Calibri" w:cs="Calibri" w:hAnsi="Calibri"/>
      <w:sz w:val="24"/>
      <w:szCs w:val="24"/>
    </w:rPr>
  </w:style>
  <w:style w:customStyle="1" w:styleId="Text" w:type="paragraph">
    <w:name w:val="Text"/>
    <w:next w:val="NormalOld"/>
    <w:qFormat/>
    <w:pPr>
      <w:jc w:val="both"/>
      <w:ind w:left="300"/>
      <w:spacing w:after="60"/>
    </w:pPr>
    <w:rPr>
      <w:rFonts w:ascii="Calibri" w:cs="Calibri" w:hAnsi="Calibri"/>
      <w:sz w:val="20"/>
      <w:szCs w:val="20"/>
    </w:rPr>
  </w:style>
  <w:style w:customStyle="1" w:styleId="Authors" w:type="paragraph">
    <w:name w:val="Authors"/>
    <w:next w:val="NormalOld"/>
    <w:qFormat/>
    <w:pPr>
      <w:jc w:val="left"/>
      <w:ind w:left="300"/>
      <w:spacing w:after="60"/>
      <w:keepLines/>
    </w:pPr>
    <w:rPr>
      <w:rFonts w:ascii="Calibri" w:cs="Calibri" w:hAnsi="Calibri"/>
      <w:sz w:val="22"/>
      <w:szCs w:val="22"/>
    </w:rPr>
  </w:style>
</w:styles>
</file>

<file path=word/_rels/document.xml.rels><?xml version="1.0" encoding="UTF-8" standalone="yes"?>
<Relationships xmlns="http://schemas.openxmlformats.org/package/2006/relationships">
  <Relationship Id="rId1" Target="settings.xml" Type="http://schemas.openxmlformats.org/officeDocument/2006/relationships/settings"/>
  <Relationship Id="rId2" Target="numbering.xml" Type="http://schemas.openxmlformats.org/officeDocument/2006/relationships/numbering"/>
  <Relationship Id="rId3" Target="fontTable.xml" Type="http://schemas.openxmlformats.org/officeDocument/2006/relationships/fontTable"/>
  <Relationship Id="rId4" Target="theme/theme1.xml" Type="http://schemas.openxmlformats.org/officeDocument/2006/relationships/theme"/>
  <Relationship Id="rId5" Target="styles.xml" Type="http://schemas.openxmlformats.org/officeDocument/2006/relationships/styles"/>
<Relationship Id="logo.png" Target="media/logo.png" Type="http://schemas.openxmlformats.org/officeDocument/2006/relationships/image"/></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